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FEEFA" w14:textId="7A8B2EEA" w:rsidR="005E04E7" w:rsidRDefault="005E04E7" w:rsidP="005E04E7">
      <w:pPr>
        <w:spacing w:before="3" w:line="270" w:lineRule="exact"/>
        <w:jc w:val="center"/>
        <w:textAlignment w:val="baseline"/>
        <w:rPr>
          <w:rFonts w:eastAsia="Times New Roman"/>
          <w:b/>
          <w:color w:val="000000"/>
          <w:sz w:val="24"/>
        </w:rPr>
      </w:pPr>
      <w:bookmarkStart w:id="0" w:name="_GoBack"/>
      <w:bookmarkEnd w:id="0"/>
      <w:r>
        <w:rPr>
          <w:rFonts w:eastAsia="Times New Roman"/>
          <w:b/>
          <w:color w:val="000000"/>
          <w:sz w:val="24"/>
        </w:rPr>
        <w:t>SJW Group Announces Pricing of Offering of Common Stock</w:t>
      </w:r>
      <w:r w:rsidR="000521EB">
        <w:rPr>
          <w:rFonts w:eastAsia="Times New Roman"/>
          <w:b/>
          <w:color w:val="000000"/>
          <w:sz w:val="24"/>
        </w:rPr>
        <w:t xml:space="preserve"> </w:t>
      </w:r>
    </w:p>
    <w:p w14:paraId="15DFD127" w14:textId="5E1D3662" w:rsidR="005E04E7" w:rsidRPr="007D6BAD" w:rsidRDefault="005E04E7" w:rsidP="005E04E7">
      <w:pPr>
        <w:spacing w:before="277" w:line="276" w:lineRule="exact"/>
        <w:jc w:val="both"/>
        <w:textAlignment w:val="baseline"/>
        <w:rPr>
          <w:rFonts w:eastAsia="Times New Roman"/>
          <w:color w:val="000000"/>
          <w:sz w:val="24"/>
        </w:rPr>
      </w:pPr>
      <w:r>
        <w:rPr>
          <w:rFonts w:eastAsia="Times New Roman"/>
          <w:b/>
          <w:color w:val="000000"/>
          <w:sz w:val="24"/>
        </w:rPr>
        <w:t xml:space="preserve">San Jose, CA </w:t>
      </w:r>
      <w:r>
        <w:rPr>
          <w:rFonts w:eastAsia="Times New Roman"/>
          <w:b/>
          <w:color w:val="000000"/>
          <w:w w:val="70"/>
          <w:sz w:val="28"/>
        </w:rPr>
        <w:t xml:space="preserve">– </w:t>
      </w:r>
      <w:r>
        <w:rPr>
          <w:rFonts w:eastAsia="Times New Roman"/>
          <w:b/>
          <w:color w:val="000000"/>
          <w:sz w:val="24"/>
        </w:rPr>
        <w:t xml:space="preserve">March </w:t>
      </w:r>
      <w:r w:rsidR="009A0E52">
        <w:rPr>
          <w:rFonts w:eastAsia="Times New Roman"/>
          <w:b/>
          <w:color w:val="000000"/>
          <w:sz w:val="24"/>
        </w:rPr>
        <w:t>8</w:t>
      </w:r>
      <w:r>
        <w:rPr>
          <w:rFonts w:eastAsia="Times New Roman"/>
          <w:b/>
          <w:color w:val="000000"/>
          <w:sz w:val="24"/>
        </w:rPr>
        <w:t xml:space="preserve">, 2021 </w:t>
      </w:r>
      <w:r>
        <w:rPr>
          <w:rFonts w:eastAsia="Times New Roman"/>
          <w:color w:val="000000"/>
          <w:sz w:val="24"/>
        </w:rPr>
        <w:t>– SJW Group (</w:t>
      </w:r>
      <w:r w:rsidRPr="007D6BAD">
        <w:rPr>
          <w:rFonts w:eastAsia="Times New Roman"/>
          <w:color w:val="000000"/>
          <w:sz w:val="24"/>
        </w:rPr>
        <w:t>NYSE: SJW) (“SJW”</w:t>
      </w:r>
      <w:r w:rsidR="009062DA">
        <w:rPr>
          <w:rFonts w:eastAsia="Times New Roman"/>
          <w:color w:val="000000"/>
          <w:sz w:val="24"/>
        </w:rPr>
        <w:t xml:space="preserve"> or the “Company”</w:t>
      </w:r>
      <w:r w:rsidRPr="007D6BAD">
        <w:rPr>
          <w:rFonts w:eastAsia="Times New Roman"/>
          <w:color w:val="000000"/>
          <w:sz w:val="24"/>
        </w:rPr>
        <w:t xml:space="preserve">) announced today that it has priced its previously announced underwritten public offering of </w:t>
      </w:r>
      <w:r w:rsidR="00522586" w:rsidRPr="00522586">
        <w:rPr>
          <w:rFonts w:eastAsia="Times New Roman"/>
          <w:color w:val="000000"/>
          <w:sz w:val="24"/>
        </w:rPr>
        <w:t>1,030,000</w:t>
      </w:r>
      <w:r w:rsidRPr="007D6BAD">
        <w:rPr>
          <w:rFonts w:eastAsia="Times New Roman"/>
          <w:color w:val="000000"/>
          <w:sz w:val="24"/>
        </w:rPr>
        <w:t xml:space="preserve"> shares of its common stock, par value $0.001 per share, at a </w:t>
      </w:r>
      <w:r w:rsidR="006F1F6C">
        <w:rPr>
          <w:rFonts w:eastAsia="Times New Roman"/>
          <w:color w:val="000000"/>
          <w:sz w:val="24"/>
        </w:rPr>
        <w:t xml:space="preserve">public offering </w:t>
      </w:r>
      <w:r w:rsidRPr="007D6BAD">
        <w:rPr>
          <w:rFonts w:eastAsia="Times New Roman"/>
          <w:color w:val="000000"/>
          <w:sz w:val="24"/>
        </w:rPr>
        <w:t>price of $</w:t>
      </w:r>
      <w:r w:rsidR="00522586">
        <w:rPr>
          <w:rFonts w:eastAsia="Times New Roman"/>
          <w:color w:val="000000"/>
          <w:sz w:val="24"/>
        </w:rPr>
        <w:t>59.00</w:t>
      </w:r>
      <w:r w:rsidRPr="007D6BAD">
        <w:rPr>
          <w:rFonts w:eastAsia="Times New Roman"/>
          <w:color w:val="000000"/>
          <w:sz w:val="24"/>
        </w:rPr>
        <w:t xml:space="preserve"> per share, for aggregate gross proceeds of approximately $</w:t>
      </w:r>
      <w:r w:rsidR="00522586">
        <w:rPr>
          <w:rFonts w:eastAsia="Times New Roman"/>
          <w:color w:val="000000"/>
          <w:sz w:val="24"/>
        </w:rPr>
        <w:t>60.77</w:t>
      </w:r>
      <w:r w:rsidRPr="007D6BAD">
        <w:rPr>
          <w:rFonts w:eastAsia="Times New Roman"/>
          <w:color w:val="000000"/>
          <w:sz w:val="24"/>
        </w:rPr>
        <w:t xml:space="preserve"> million. SJW has also granted the underwriters a 30-day option to purchase up to an additional </w:t>
      </w:r>
      <w:r w:rsidR="00522586" w:rsidRPr="00522586">
        <w:rPr>
          <w:rFonts w:eastAsia="Times New Roman"/>
          <w:color w:val="000000"/>
          <w:sz w:val="24"/>
        </w:rPr>
        <w:t>154,500</w:t>
      </w:r>
      <w:r w:rsidRPr="007D6BAD">
        <w:rPr>
          <w:rFonts w:eastAsia="Times New Roman"/>
          <w:color w:val="000000"/>
          <w:sz w:val="24"/>
        </w:rPr>
        <w:t xml:space="preserve"> shares of its common stock.</w:t>
      </w:r>
      <w:r w:rsidR="000B339D" w:rsidRPr="000B339D">
        <w:rPr>
          <w:rFonts w:eastAsia="Times New Roman"/>
          <w:color w:val="000000"/>
          <w:sz w:val="24"/>
        </w:rPr>
        <w:t xml:space="preserve"> </w:t>
      </w:r>
      <w:r w:rsidR="000B339D" w:rsidRPr="007D6BAD">
        <w:rPr>
          <w:rFonts w:eastAsia="Times New Roman"/>
          <w:color w:val="000000"/>
          <w:sz w:val="24"/>
        </w:rPr>
        <w:t xml:space="preserve">The offering is expected to close on or about March </w:t>
      </w:r>
      <w:r w:rsidR="000B339D">
        <w:rPr>
          <w:rFonts w:eastAsia="Times New Roman"/>
          <w:color w:val="000000"/>
          <w:sz w:val="24"/>
        </w:rPr>
        <w:t>11</w:t>
      </w:r>
      <w:r w:rsidR="000B339D" w:rsidRPr="007D6BAD">
        <w:rPr>
          <w:rFonts w:eastAsia="Times New Roman"/>
          <w:color w:val="000000"/>
          <w:sz w:val="24"/>
        </w:rPr>
        <w:t>, 2021, subject to customary closing conditions.</w:t>
      </w:r>
      <w:r w:rsidR="000B339D">
        <w:rPr>
          <w:rFonts w:eastAsia="Times New Roman"/>
          <w:color w:val="000000"/>
          <w:sz w:val="24"/>
        </w:rPr>
        <w:t xml:space="preserve"> </w:t>
      </w:r>
    </w:p>
    <w:p w14:paraId="2F83F416" w14:textId="6BCD6487" w:rsidR="005A4E49" w:rsidRPr="007D6BAD" w:rsidRDefault="005A4E49" w:rsidP="005A4E49">
      <w:pPr>
        <w:spacing w:before="276" w:line="276" w:lineRule="exact"/>
        <w:jc w:val="both"/>
        <w:textAlignment w:val="baseline"/>
        <w:rPr>
          <w:rFonts w:eastAsia="Times New Roman"/>
          <w:color w:val="000000"/>
          <w:sz w:val="24"/>
        </w:rPr>
      </w:pPr>
      <w:r w:rsidRPr="007D6BAD">
        <w:rPr>
          <w:rFonts w:eastAsia="Times New Roman"/>
          <w:color w:val="000000"/>
          <w:sz w:val="24"/>
        </w:rPr>
        <w:t xml:space="preserve">SJW intends to use the net proceeds from the offering to repay outstanding indebtedness and for other general corporate purposes, </w:t>
      </w:r>
      <w:r w:rsidR="00CD6A06" w:rsidRPr="007D6BAD">
        <w:rPr>
          <w:rFonts w:eastAsia="Times New Roman"/>
          <w:color w:val="000000"/>
          <w:sz w:val="24"/>
        </w:rPr>
        <w:t>which may include</w:t>
      </w:r>
      <w:r w:rsidRPr="007D6BAD">
        <w:rPr>
          <w:rFonts w:eastAsia="Times New Roman"/>
          <w:color w:val="000000"/>
          <w:sz w:val="24"/>
        </w:rPr>
        <w:t xml:space="preserve"> financing infrastructure improvements</w:t>
      </w:r>
      <w:r w:rsidR="00882455">
        <w:rPr>
          <w:rFonts w:eastAsia="Times New Roman"/>
          <w:color w:val="000000"/>
          <w:sz w:val="24"/>
        </w:rPr>
        <w:t>,</w:t>
      </w:r>
      <w:r w:rsidRPr="007D6BAD">
        <w:rPr>
          <w:rFonts w:eastAsia="Times New Roman"/>
          <w:color w:val="000000"/>
          <w:sz w:val="24"/>
        </w:rPr>
        <w:t xml:space="preserve"> other capital expenditures</w:t>
      </w:r>
      <w:r w:rsidR="00CD6A06" w:rsidRPr="007D6BAD">
        <w:rPr>
          <w:rFonts w:eastAsia="Times New Roman"/>
          <w:color w:val="000000"/>
          <w:sz w:val="24"/>
        </w:rPr>
        <w:t xml:space="preserve"> and working capital.</w:t>
      </w:r>
    </w:p>
    <w:p w14:paraId="7437AFAE" w14:textId="77777777" w:rsidR="005A4E49" w:rsidRPr="007D6BAD" w:rsidRDefault="005A4E49" w:rsidP="005A4E49">
      <w:pPr>
        <w:tabs>
          <w:tab w:val="left" w:pos="240"/>
        </w:tabs>
        <w:ind w:left="270" w:hanging="270"/>
        <w:rPr>
          <w:rFonts w:eastAsia="Times New Roman"/>
          <w:color w:val="000000"/>
          <w:sz w:val="24"/>
        </w:rPr>
      </w:pPr>
    </w:p>
    <w:p w14:paraId="175B8F30" w14:textId="70A1BD97" w:rsidR="005A4E49" w:rsidRPr="007D6BAD" w:rsidRDefault="005A4E49" w:rsidP="007D6BAD">
      <w:pPr>
        <w:tabs>
          <w:tab w:val="left" w:pos="240"/>
        </w:tabs>
        <w:jc w:val="both"/>
        <w:rPr>
          <w:sz w:val="24"/>
          <w:szCs w:val="24"/>
        </w:rPr>
      </w:pPr>
      <w:r w:rsidRPr="007D6BAD">
        <w:rPr>
          <w:sz w:val="24"/>
          <w:szCs w:val="24"/>
        </w:rPr>
        <w:t xml:space="preserve">J.P. Morgan </w:t>
      </w:r>
      <w:r w:rsidR="006E58AA">
        <w:rPr>
          <w:sz w:val="24"/>
          <w:szCs w:val="24"/>
        </w:rPr>
        <w:t xml:space="preserve">and RBC Capital Markets are acting as </w:t>
      </w:r>
      <w:r w:rsidRPr="007D6BAD">
        <w:rPr>
          <w:rFonts w:eastAsia="Times New Roman"/>
          <w:color w:val="000000"/>
          <w:sz w:val="24"/>
        </w:rPr>
        <w:t>book-running manager</w:t>
      </w:r>
      <w:r w:rsidR="006E58AA">
        <w:rPr>
          <w:rFonts w:eastAsia="Times New Roman"/>
          <w:color w:val="000000"/>
          <w:sz w:val="24"/>
        </w:rPr>
        <w:t>s</w:t>
      </w:r>
      <w:r w:rsidRPr="007D6BAD">
        <w:rPr>
          <w:rFonts w:eastAsia="Times New Roman"/>
          <w:color w:val="000000"/>
          <w:sz w:val="24"/>
        </w:rPr>
        <w:t xml:space="preserve"> for the offering. </w:t>
      </w:r>
      <w:r w:rsidR="00522586" w:rsidRPr="00522586">
        <w:rPr>
          <w:rFonts w:eastAsia="Times New Roman"/>
          <w:color w:val="000000"/>
          <w:sz w:val="24"/>
        </w:rPr>
        <w:t xml:space="preserve">Janney Montgomery Scott </w:t>
      </w:r>
      <w:r w:rsidR="007D6BAD" w:rsidRPr="007D6BAD">
        <w:rPr>
          <w:rFonts w:eastAsia="Times New Roman"/>
          <w:color w:val="000000"/>
          <w:sz w:val="24"/>
        </w:rPr>
        <w:t xml:space="preserve">and </w:t>
      </w:r>
      <w:r w:rsidR="00522586">
        <w:rPr>
          <w:rFonts w:eastAsia="Times New Roman"/>
          <w:color w:val="000000"/>
          <w:sz w:val="24"/>
        </w:rPr>
        <w:t>Loop Capital Market</w:t>
      </w:r>
      <w:r w:rsidR="00882455">
        <w:rPr>
          <w:rFonts w:eastAsia="Times New Roman"/>
          <w:color w:val="000000"/>
          <w:sz w:val="24"/>
        </w:rPr>
        <w:t>s</w:t>
      </w:r>
      <w:r w:rsidR="007D6BAD" w:rsidRPr="007D6BAD">
        <w:rPr>
          <w:rFonts w:eastAsia="Times New Roman"/>
          <w:color w:val="000000"/>
          <w:sz w:val="24"/>
        </w:rPr>
        <w:t xml:space="preserve"> are serving as co-managers for the offering.</w:t>
      </w:r>
    </w:p>
    <w:p w14:paraId="2E90EA59" w14:textId="3AE3F0B5" w:rsidR="005A4E49" w:rsidRPr="00C6311F" w:rsidRDefault="005A4E49" w:rsidP="005A4E49">
      <w:pPr>
        <w:spacing w:before="276" w:line="276" w:lineRule="exact"/>
        <w:jc w:val="both"/>
        <w:textAlignment w:val="baseline"/>
        <w:rPr>
          <w:rFonts w:eastAsia="Times New Roman"/>
          <w:color w:val="000000"/>
          <w:sz w:val="24"/>
        </w:rPr>
      </w:pPr>
      <w:r w:rsidRPr="00C6311F">
        <w:rPr>
          <w:rFonts w:eastAsia="Times New Roman"/>
          <w:color w:val="000000"/>
          <w:sz w:val="24"/>
        </w:rPr>
        <w:t>The offering is being made pursuant to an effective shelf registration statement filed with the Securities and Exchange Commission (the “SEC”). The offering is being made only by means of a prospectus supplement relating to such offering, including the accompanying base prospectus. Before you invest, you should read the</w:t>
      </w:r>
      <w:r w:rsidRPr="00C6311F">
        <w:rPr>
          <w:rFonts w:eastAsia="Times New Roman"/>
          <w:b/>
          <w:color w:val="000000"/>
          <w:sz w:val="24"/>
        </w:rPr>
        <w:t xml:space="preserve"> </w:t>
      </w:r>
      <w:r w:rsidRPr="00C6311F">
        <w:rPr>
          <w:rFonts w:eastAsia="Times New Roman"/>
          <w:color w:val="000000"/>
          <w:sz w:val="24"/>
        </w:rPr>
        <w:t>preliminary prospectus supplement and accompanying prospectus, the registration statement, and the other documents that the Company has filed with the SEC for more complete information about the Company and this offering. Copies of the preliminary prospectus supplement relating to the offering and the final prospectus supplement, when available, may be obtained by visiting EDGAR on the SEC’s website at www.sec.gov or from J.P. Morgan Securities LLC, c/o Broadridge Financial Solutions, 1155 Long Island Avenue, Edgewood, NY 11717,</w:t>
      </w:r>
      <w:r w:rsidR="00CD6A06">
        <w:rPr>
          <w:rFonts w:eastAsia="Times New Roman"/>
          <w:color w:val="000000"/>
          <w:sz w:val="24"/>
        </w:rPr>
        <w:t xml:space="preserve"> </w:t>
      </w:r>
      <w:r w:rsidR="00CD6A06" w:rsidRPr="00CD6A06">
        <w:rPr>
          <w:rFonts w:eastAsia="Times New Roman"/>
          <w:color w:val="000000"/>
          <w:sz w:val="24"/>
        </w:rPr>
        <w:t>by telephone at (866) 803-9204 or by email a</w:t>
      </w:r>
      <w:r w:rsidR="00F319EF">
        <w:rPr>
          <w:rFonts w:eastAsia="Times New Roman"/>
          <w:color w:val="000000"/>
          <w:sz w:val="24"/>
        </w:rPr>
        <w:t xml:space="preserve">t </w:t>
      </w:r>
      <w:hyperlink r:id="rId7" w:history="1">
        <w:r w:rsidR="00F319EF" w:rsidRPr="002E6CC6">
          <w:rPr>
            <w:rStyle w:val="Hyperlink"/>
            <w:rFonts w:eastAsia="Times New Roman"/>
            <w:sz w:val="24"/>
          </w:rPr>
          <w:t>prospectus-eq_fi@jpmchase.com</w:t>
        </w:r>
      </w:hyperlink>
      <w:r w:rsidR="00F319EF">
        <w:rPr>
          <w:rFonts w:eastAsia="Times New Roman"/>
          <w:color w:val="000000"/>
          <w:sz w:val="24"/>
        </w:rPr>
        <w:t xml:space="preserve">; or </w:t>
      </w:r>
      <w:r w:rsidR="00F319EF" w:rsidRPr="00F319EF">
        <w:rPr>
          <w:rFonts w:eastAsia="Times New Roman"/>
          <w:color w:val="000000"/>
          <w:sz w:val="24"/>
        </w:rPr>
        <w:t>RBC Capital Markets, LLC, Attention: Equity Capital Markets, 200 Vesey Street, New York</w:t>
      </w:r>
      <w:r w:rsidR="00CF1642">
        <w:rPr>
          <w:rFonts w:eastAsia="Times New Roman"/>
          <w:color w:val="000000"/>
          <w:sz w:val="24"/>
        </w:rPr>
        <w:t xml:space="preserve">, NY 10281, by telephone at (877) </w:t>
      </w:r>
      <w:r w:rsidR="00F319EF" w:rsidRPr="00F319EF">
        <w:rPr>
          <w:rFonts w:eastAsia="Times New Roman"/>
          <w:color w:val="000000"/>
          <w:sz w:val="24"/>
        </w:rPr>
        <w:t xml:space="preserve">822-4089 or by email at </w:t>
      </w:r>
      <w:hyperlink r:id="rId8" w:history="1">
        <w:r w:rsidR="00F319EF" w:rsidRPr="00F319EF">
          <w:rPr>
            <w:rStyle w:val="Hyperlink"/>
            <w:rFonts w:eastAsia="Times New Roman"/>
            <w:sz w:val="24"/>
          </w:rPr>
          <w:t>equityprospectus@rbccm.com</w:t>
        </w:r>
      </w:hyperlink>
      <w:r w:rsidR="00F319EF">
        <w:rPr>
          <w:rFonts w:eastAsia="Times New Roman"/>
          <w:color w:val="000000"/>
          <w:sz w:val="24"/>
        </w:rPr>
        <w:t>.</w:t>
      </w:r>
    </w:p>
    <w:p w14:paraId="087B1DDF" w14:textId="77777777" w:rsidR="005A4E49" w:rsidRPr="00C6311F" w:rsidRDefault="005A4E49" w:rsidP="005A4E49">
      <w:pPr>
        <w:spacing w:before="276" w:after="13" w:line="275" w:lineRule="exact"/>
        <w:jc w:val="both"/>
        <w:textAlignment w:val="baseline"/>
        <w:rPr>
          <w:rFonts w:eastAsia="Times New Roman"/>
          <w:b/>
          <w:color w:val="000000"/>
          <w:sz w:val="24"/>
        </w:rPr>
      </w:pPr>
      <w:r w:rsidRPr="00C6311F">
        <w:rPr>
          <w:rFonts w:eastAsia="Times New Roman"/>
          <w:b/>
          <w:color w:val="000000"/>
          <w:sz w:val="24"/>
        </w:rPr>
        <w:t>This press release shall not constitute an offer to sell or a solicitation of an offer to buy the securities described herein, nor shall there be any sale of these securities in any state or other jurisdiction in which such an offer, solicitation or sale would be unlawful prior to registration or qualification under the securities laws of any such state or jurisdiction.</w:t>
      </w:r>
    </w:p>
    <w:p w14:paraId="763596B3" w14:textId="77777777" w:rsidR="005A4E49" w:rsidRDefault="005A4E49" w:rsidP="005A4E49"/>
    <w:p w14:paraId="00E3550E" w14:textId="77777777" w:rsidR="005A4E49" w:rsidRPr="00C6311F" w:rsidRDefault="005A4E49" w:rsidP="005A4E49">
      <w:pPr>
        <w:spacing w:before="15" w:line="273" w:lineRule="exact"/>
        <w:textAlignment w:val="baseline"/>
        <w:rPr>
          <w:rFonts w:eastAsia="Times New Roman"/>
          <w:b/>
          <w:color w:val="000000"/>
          <w:sz w:val="24"/>
        </w:rPr>
      </w:pPr>
      <w:r w:rsidRPr="00C6311F">
        <w:rPr>
          <w:rFonts w:eastAsia="Times New Roman"/>
          <w:b/>
          <w:color w:val="000000"/>
          <w:sz w:val="24"/>
        </w:rPr>
        <w:t>Forward-Looking Statements</w:t>
      </w:r>
    </w:p>
    <w:p w14:paraId="2C42AFA9" w14:textId="2B72869E" w:rsidR="005A4E49" w:rsidRDefault="005A4E49" w:rsidP="005A4E49">
      <w:pPr>
        <w:spacing w:before="273" w:line="276" w:lineRule="exact"/>
        <w:jc w:val="both"/>
        <w:textAlignment w:val="baseline"/>
        <w:rPr>
          <w:rFonts w:eastAsia="Times New Roman"/>
          <w:color w:val="000000"/>
          <w:sz w:val="24"/>
        </w:rPr>
      </w:pPr>
      <w:r w:rsidRPr="00C6311F">
        <w:rPr>
          <w:rFonts w:eastAsia="Times New Roman"/>
          <w:color w:val="000000"/>
          <w:sz w:val="24"/>
        </w:rPr>
        <w:t xml:space="preserve">This press release may contain forward-looking statements within the meaning of Section 27A of the Securities Act of 1933, as amended, and Section 21E of the Securities Exchange Act of 1934, as amended, including, but not limited to, statements relating to the expected use of </w:t>
      </w:r>
      <w:r>
        <w:rPr>
          <w:rFonts w:eastAsia="Times New Roman"/>
          <w:color w:val="000000"/>
          <w:sz w:val="24"/>
        </w:rPr>
        <w:t xml:space="preserve">net </w:t>
      </w:r>
      <w:r w:rsidRPr="00C6311F">
        <w:rPr>
          <w:rFonts w:eastAsia="Times New Roman"/>
          <w:color w:val="000000"/>
          <w:sz w:val="24"/>
        </w:rPr>
        <w:t>proceeds</w:t>
      </w:r>
      <w:r w:rsidR="00C3009A">
        <w:rPr>
          <w:rFonts w:eastAsia="Times New Roman"/>
          <w:color w:val="000000"/>
          <w:sz w:val="24"/>
        </w:rPr>
        <w:t xml:space="preserve"> and closing date</w:t>
      </w:r>
      <w:r w:rsidRPr="00C6311F">
        <w:rPr>
          <w:rFonts w:eastAsia="Times New Roman"/>
          <w:color w:val="000000"/>
          <w:sz w:val="24"/>
        </w:rPr>
        <w:t xml:space="preserve">, which statements are made pursuant to the safe harbor provisions of the U.S. Private Securities Litigation Reform Act of 1995. </w:t>
      </w:r>
    </w:p>
    <w:p w14:paraId="1559BB5E" w14:textId="77777777" w:rsidR="005A4E49" w:rsidRDefault="005A4E49" w:rsidP="005A4E49">
      <w:pPr>
        <w:spacing w:before="273" w:line="276" w:lineRule="exact"/>
        <w:jc w:val="both"/>
        <w:textAlignment w:val="baseline"/>
        <w:rPr>
          <w:rFonts w:eastAsia="Times New Roman"/>
          <w:color w:val="000000"/>
          <w:sz w:val="24"/>
        </w:rPr>
      </w:pPr>
      <w:r w:rsidRPr="00C6311F">
        <w:rPr>
          <w:rFonts w:eastAsia="Times New Roman"/>
          <w:color w:val="000000"/>
          <w:sz w:val="24"/>
        </w:rPr>
        <w:t xml:space="preserve">These forward-looking statements involve </w:t>
      </w:r>
      <w:r w:rsidRPr="00214C66">
        <w:rPr>
          <w:rFonts w:eastAsia="Times New Roman"/>
          <w:color w:val="000000"/>
          <w:sz w:val="24"/>
        </w:rPr>
        <w:t xml:space="preserve">a number of risks, uncertainties and assumptions including, but not limited to, the following factors: (1) the effect of water, utility, environmental </w:t>
      </w:r>
      <w:r w:rsidRPr="00214C66">
        <w:rPr>
          <w:rFonts w:eastAsia="Times New Roman"/>
          <w:color w:val="000000"/>
          <w:sz w:val="24"/>
        </w:rPr>
        <w:lastRenderedPageBreak/>
        <w:t>and other governmental policies and regulations, including actions concerning rates, authorized return on equity, authorized capital structures, capital expenditures and other decisions; (2) changes in demand for water and other services; (3) the impact of the Coronavirus (“COVID-19”) pandemic on our business operation and financial results; (4) unanticipated weather conditions and changes in seasonality; (5) climate change and the effects thereof; (</w:t>
      </w:r>
      <w:r>
        <w:rPr>
          <w:rFonts w:eastAsia="Times New Roman"/>
          <w:color w:val="000000"/>
          <w:sz w:val="24"/>
        </w:rPr>
        <w:t>6</w:t>
      </w:r>
      <w:r w:rsidRPr="00214C66">
        <w:rPr>
          <w:rFonts w:eastAsia="Times New Roman"/>
          <w:color w:val="000000"/>
          <w:sz w:val="24"/>
        </w:rPr>
        <w:t>) unexpected costs, charges or expenses; (</w:t>
      </w:r>
      <w:r>
        <w:rPr>
          <w:rFonts w:eastAsia="Times New Roman"/>
          <w:color w:val="000000"/>
          <w:sz w:val="24"/>
        </w:rPr>
        <w:t>7</w:t>
      </w:r>
      <w:r w:rsidRPr="00214C66">
        <w:rPr>
          <w:rFonts w:eastAsia="Times New Roman"/>
          <w:color w:val="000000"/>
          <w:sz w:val="24"/>
        </w:rPr>
        <w:t>) our ability to successfully evaluate investments in new business and growth initiatives; (</w:t>
      </w:r>
      <w:r>
        <w:rPr>
          <w:rFonts w:eastAsia="Times New Roman"/>
          <w:color w:val="000000"/>
          <w:sz w:val="24"/>
        </w:rPr>
        <w:t>8</w:t>
      </w:r>
      <w:r w:rsidRPr="00214C66">
        <w:rPr>
          <w:rFonts w:eastAsia="Times New Roman"/>
          <w:color w:val="000000"/>
          <w:sz w:val="24"/>
        </w:rPr>
        <w:t>) contamination of our water supplies and damage or failure of our water equipment and infrastructure; (</w:t>
      </w:r>
      <w:r>
        <w:rPr>
          <w:rFonts w:eastAsia="Times New Roman"/>
          <w:color w:val="000000"/>
          <w:sz w:val="24"/>
        </w:rPr>
        <w:t>9</w:t>
      </w:r>
      <w:r w:rsidRPr="00214C66">
        <w:rPr>
          <w:rFonts w:eastAsia="Times New Roman"/>
          <w:color w:val="000000"/>
          <w:sz w:val="24"/>
        </w:rPr>
        <w:t>) the risk of work stoppages, strikes and other labor-related actions; (1</w:t>
      </w:r>
      <w:r>
        <w:rPr>
          <w:rFonts w:eastAsia="Times New Roman"/>
          <w:color w:val="000000"/>
          <w:sz w:val="24"/>
        </w:rPr>
        <w:t>0</w:t>
      </w:r>
      <w:r w:rsidRPr="00214C66">
        <w:rPr>
          <w:rFonts w:eastAsia="Times New Roman"/>
          <w:color w:val="000000"/>
          <w:sz w:val="24"/>
        </w:rPr>
        <w:t>) catastrophic events such as fires, earthquakes, explosions, floods, ice storms, tornadoes, hurricanes, terrorist acts, physical attacks, cyber-attacks, epidemic</w:t>
      </w:r>
      <w:r>
        <w:rPr>
          <w:rFonts w:eastAsia="Times New Roman"/>
          <w:color w:val="000000"/>
          <w:sz w:val="24"/>
        </w:rPr>
        <w:t>s, pandemics</w:t>
      </w:r>
      <w:r w:rsidRPr="00214C66">
        <w:rPr>
          <w:rFonts w:eastAsia="Times New Roman"/>
          <w:color w:val="000000"/>
          <w:sz w:val="24"/>
        </w:rPr>
        <w:t xml:space="preserve"> or similar occurrences; (1</w:t>
      </w:r>
      <w:r>
        <w:rPr>
          <w:rFonts w:eastAsia="Times New Roman"/>
          <w:color w:val="000000"/>
          <w:sz w:val="24"/>
        </w:rPr>
        <w:t>1</w:t>
      </w:r>
      <w:r w:rsidRPr="00214C66">
        <w:rPr>
          <w:rFonts w:eastAsia="Times New Roman"/>
          <w:color w:val="000000"/>
          <w:sz w:val="24"/>
        </w:rPr>
        <w:t>) changes in general economic, political, business and financial market conditions; (1</w:t>
      </w:r>
      <w:r>
        <w:rPr>
          <w:rFonts w:eastAsia="Times New Roman"/>
          <w:color w:val="000000"/>
          <w:sz w:val="24"/>
        </w:rPr>
        <w:t>2</w:t>
      </w:r>
      <w:r w:rsidRPr="00214C66">
        <w:rPr>
          <w:rFonts w:eastAsia="Times New Roman"/>
          <w:color w:val="000000"/>
          <w:sz w:val="24"/>
        </w:rPr>
        <w:t>) the ability to obtain financing on favorable terms, which can be affected by various factors, including credit ratings, changes in interest rates, compliance with regulatory requirements, compliance with the terms and conditions of our outstanding indebtedness, and general market and economic conditions; and (1</w:t>
      </w:r>
      <w:r>
        <w:rPr>
          <w:rFonts w:eastAsia="Times New Roman"/>
          <w:color w:val="000000"/>
          <w:sz w:val="24"/>
        </w:rPr>
        <w:t>3</w:t>
      </w:r>
      <w:r w:rsidRPr="00214C66">
        <w:rPr>
          <w:rFonts w:eastAsia="Times New Roman"/>
          <w:color w:val="000000"/>
          <w:sz w:val="24"/>
        </w:rPr>
        <w:t>) legislative and general market and economic developments.</w:t>
      </w:r>
      <w:r>
        <w:rPr>
          <w:rFonts w:eastAsia="Times New Roman"/>
          <w:color w:val="000000"/>
          <w:sz w:val="24"/>
        </w:rPr>
        <w:t xml:space="preserve"> The</w:t>
      </w:r>
      <w:r w:rsidRPr="00C6311F">
        <w:rPr>
          <w:rFonts w:eastAsia="Times New Roman"/>
          <w:color w:val="000000"/>
          <w:sz w:val="24"/>
        </w:rPr>
        <w:t xml:space="preserve"> risks, uncertainties and other factors</w:t>
      </w:r>
      <w:r>
        <w:rPr>
          <w:rFonts w:eastAsia="Times New Roman"/>
          <w:color w:val="000000"/>
          <w:sz w:val="24"/>
        </w:rPr>
        <w:t xml:space="preserve"> </w:t>
      </w:r>
      <w:r w:rsidRPr="00C6311F">
        <w:rPr>
          <w:rFonts w:eastAsia="Times New Roman"/>
          <w:color w:val="000000"/>
          <w:sz w:val="24"/>
        </w:rPr>
        <w:t xml:space="preserve">may cause the actual results, performance or achievements of SJW to be materially different from any future results, performance or achievements expressed or implied by such forward-looking statements. </w:t>
      </w:r>
    </w:p>
    <w:p w14:paraId="2E75C361" w14:textId="41E21F3C" w:rsidR="005A4E49" w:rsidRDefault="005A4E49" w:rsidP="005A4E49">
      <w:pPr>
        <w:spacing w:before="273" w:line="276" w:lineRule="exact"/>
        <w:jc w:val="both"/>
        <w:textAlignment w:val="baseline"/>
        <w:rPr>
          <w:rFonts w:eastAsia="Times New Roman"/>
          <w:color w:val="000000"/>
          <w:sz w:val="24"/>
        </w:rPr>
      </w:pPr>
      <w:r w:rsidRPr="00C6311F">
        <w:rPr>
          <w:rFonts w:eastAsia="Times New Roman"/>
          <w:color w:val="000000"/>
          <w:sz w:val="24"/>
        </w:rPr>
        <w:t>Other factors that may cause actual results, performance or achievements to materially differ are described in SJW’s most recent Annual Report on Form 10-K, Quarterly Reports on Form 10-Q and Current Reports on Form 8-K filed with the SEC. SJW undertakes no obligation to publicly update or revise any forward-looking statement, whether as a result of new information, future events or otherwise.</w:t>
      </w:r>
    </w:p>
    <w:p w14:paraId="1AD5158B" w14:textId="77777777" w:rsidR="0064412D" w:rsidRPr="00C6311F" w:rsidRDefault="0064412D" w:rsidP="005A4E49">
      <w:pPr>
        <w:spacing w:before="273" w:line="276" w:lineRule="exact"/>
        <w:jc w:val="both"/>
        <w:textAlignment w:val="baseline"/>
        <w:rPr>
          <w:rFonts w:eastAsia="Times New Roman"/>
          <w:color w:val="000000"/>
          <w:sz w:val="24"/>
        </w:rPr>
      </w:pPr>
    </w:p>
    <w:p w14:paraId="1DD07178" w14:textId="062BE17F" w:rsidR="005E04E7" w:rsidRPr="00C77E1F" w:rsidRDefault="0064412D" w:rsidP="0064412D">
      <w:pPr>
        <w:textAlignment w:val="baseline"/>
        <w:rPr>
          <w:rFonts w:eastAsia="Times New Roman"/>
          <w:color w:val="000000"/>
          <w:sz w:val="24"/>
        </w:rPr>
      </w:pPr>
      <w:r>
        <w:rPr>
          <w:rFonts w:eastAsia="Times New Roman"/>
          <w:b/>
          <w:color w:val="000000"/>
          <w:sz w:val="24"/>
          <w:u w:val="single"/>
        </w:rPr>
        <w:t xml:space="preserve">Investors </w:t>
      </w:r>
      <w:r w:rsidR="005E04E7">
        <w:rPr>
          <w:rFonts w:eastAsia="Times New Roman"/>
          <w:b/>
          <w:color w:val="000000"/>
          <w:sz w:val="24"/>
          <w:u w:val="single"/>
        </w:rPr>
        <w:t>Contact</w:t>
      </w:r>
      <w:r w:rsidR="005E04E7">
        <w:rPr>
          <w:rFonts w:eastAsia="Times New Roman"/>
          <w:b/>
          <w:color w:val="000000"/>
          <w:sz w:val="24"/>
        </w:rPr>
        <w:t xml:space="preserve"> </w:t>
      </w:r>
      <w:r w:rsidR="005E04E7">
        <w:rPr>
          <w:rFonts w:eastAsia="Times New Roman"/>
          <w:b/>
          <w:color w:val="000000"/>
          <w:sz w:val="24"/>
        </w:rPr>
        <w:br/>
      </w:r>
    </w:p>
    <w:p w14:paraId="609DD46B" w14:textId="77777777" w:rsidR="005E04E7" w:rsidRDefault="005E04E7" w:rsidP="0064412D">
      <w:pPr>
        <w:textAlignment w:val="baseline"/>
        <w:rPr>
          <w:rFonts w:eastAsia="Times New Roman"/>
          <w:color w:val="000000"/>
          <w:sz w:val="24"/>
        </w:rPr>
      </w:pPr>
      <w:r>
        <w:rPr>
          <w:rFonts w:eastAsia="Times New Roman"/>
          <w:color w:val="000000"/>
          <w:sz w:val="24"/>
        </w:rPr>
        <w:t>James Lynch</w:t>
      </w:r>
    </w:p>
    <w:p w14:paraId="21EB062F" w14:textId="77777777" w:rsidR="005E04E7" w:rsidRDefault="005E04E7" w:rsidP="0064412D">
      <w:pPr>
        <w:textAlignment w:val="baseline"/>
        <w:rPr>
          <w:rFonts w:eastAsia="Times New Roman"/>
          <w:color w:val="000000"/>
          <w:sz w:val="24"/>
        </w:rPr>
      </w:pPr>
      <w:r>
        <w:rPr>
          <w:rFonts w:eastAsia="Times New Roman"/>
          <w:color w:val="000000"/>
          <w:sz w:val="24"/>
        </w:rPr>
        <w:t>Chief Financial Officer and Treasurer, SJW Group</w:t>
      </w:r>
    </w:p>
    <w:p w14:paraId="4C252052" w14:textId="20C2E3DA" w:rsidR="00425AEA" w:rsidRPr="00262E6B" w:rsidRDefault="005E04E7" w:rsidP="0064412D">
      <w:pPr>
        <w:textAlignment w:val="baseline"/>
        <w:rPr>
          <w:rFonts w:eastAsia="Times New Roman"/>
          <w:color w:val="000000"/>
          <w:sz w:val="24"/>
        </w:rPr>
      </w:pPr>
      <w:r>
        <w:rPr>
          <w:rFonts w:eastAsia="Times New Roman"/>
          <w:color w:val="000000"/>
          <w:sz w:val="24"/>
        </w:rPr>
        <w:t>(408)</w:t>
      </w:r>
      <w:r w:rsidR="00DB5A59">
        <w:rPr>
          <w:rFonts w:eastAsia="Times New Roman"/>
          <w:color w:val="000000"/>
          <w:sz w:val="24"/>
        </w:rPr>
        <w:t xml:space="preserve"> </w:t>
      </w:r>
      <w:r>
        <w:rPr>
          <w:rFonts w:eastAsia="Times New Roman"/>
          <w:color w:val="000000"/>
          <w:sz w:val="24"/>
        </w:rPr>
        <w:t xml:space="preserve">279-7966; james.lynch@sjwater.com </w:t>
      </w:r>
    </w:p>
    <w:sectPr w:rsidR="00425AEA" w:rsidRPr="00262E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4965D" w14:textId="77777777" w:rsidR="00FB2F84" w:rsidRDefault="00FB2F84" w:rsidP="008B2CA9">
      <w:r>
        <w:separator/>
      </w:r>
    </w:p>
  </w:endnote>
  <w:endnote w:type="continuationSeparator" w:id="0">
    <w:p w14:paraId="5F1A872A" w14:textId="77777777" w:rsidR="00FB2F84" w:rsidRDefault="00FB2F84" w:rsidP="008B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8466A" w14:textId="77777777" w:rsidR="00FB2F84" w:rsidRDefault="00FB2F84" w:rsidP="008B2CA9">
      <w:r>
        <w:separator/>
      </w:r>
    </w:p>
  </w:footnote>
  <w:footnote w:type="continuationSeparator" w:id="0">
    <w:p w14:paraId="46D82679" w14:textId="77777777" w:rsidR="00FB2F84" w:rsidRDefault="00FB2F84" w:rsidP="008B2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True"/>
    <w:docVar w:name="DocIDClientMatter" w:val="True"/>
    <w:docVar w:name="DocIDDate" w:val="True"/>
    <w:docVar w:name="DocIDLibrary" w:val="True"/>
    <w:docVar w:name="DocIDTime" w:val="True"/>
  </w:docVars>
  <w:rsids>
    <w:rsidRoot w:val="005E04E7"/>
    <w:rsid w:val="000521EB"/>
    <w:rsid w:val="0006341C"/>
    <w:rsid w:val="000B339D"/>
    <w:rsid w:val="000F6997"/>
    <w:rsid w:val="00112520"/>
    <w:rsid w:val="00115732"/>
    <w:rsid w:val="00165222"/>
    <w:rsid w:val="00175C5A"/>
    <w:rsid w:val="001C1914"/>
    <w:rsid w:val="001E6B04"/>
    <w:rsid w:val="00251135"/>
    <w:rsid w:val="00262E6B"/>
    <w:rsid w:val="002F68B0"/>
    <w:rsid w:val="00303715"/>
    <w:rsid w:val="00371B78"/>
    <w:rsid w:val="003F5168"/>
    <w:rsid w:val="00425AEA"/>
    <w:rsid w:val="004D0369"/>
    <w:rsid w:val="00522586"/>
    <w:rsid w:val="0052683B"/>
    <w:rsid w:val="005A4E49"/>
    <w:rsid w:val="005E04E7"/>
    <w:rsid w:val="005E3307"/>
    <w:rsid w:val="00607EE1"/>
    <w:rsid w:val="0064412D"/>
    <w:rsid w:val="00653A40"/>
    <w:rsid w:val="00671868"/>
    <w:rsid w:val="006D03A3"/>
    <w:rsid w:val="006E58AA"/>
    <w:rsid w:val="006F1F6C"/>
    <w:rsid w:val="00716BAC"/>
    <w:rsid w:val="007D6BAD"/>
    <w:rsid w:val="007F1C54"/>
    <w:rsid w:val="008551CB"/>
    <w:rsid w:val="00882455"/>
    <w:rsid w:val="008B2CA9"/>
    <w:rsid w:val="008B600A"/>
    <w:rsid w:val="009062DA"/>
    <w:rsid w:val="00983B4A"/>
    <w:rsid w:val="009A0E52"/>
    <w:rsid w:val="009A5BEF"/>
    <w:rsid w:val="00A11B29"/>
    <w:rsid w:val="00B71917"/>
    <w:rsid w:val="00BC7B2B"/>
    <w:rsid w:val="00BF2D92"/>
    <w:rsid w:val="00BF3AA2"/>
    <w:rsid w:val="00C3009A"/>
    <w:rsid w:val="00CD6A06"/>
    <w:rsid w:val="00CF1642"/>
    <w:rsid w:val="00D04624"/>
    <w:rsid w:val="00D44A53"/>
    <w:rsid w:val="00D865EF"/>
    <w:rsid w:val="00DB5A59"/>
    <w:rsid w:val="00DE3FC8"/>
    <w:rsid w:val="00F319EF"/>
    <w:rsid w:val="00FB2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F9D8"/>
  <w15:chartTrackingRefBased/>
  <w15:docId w15:val="{D5DA767A-F895-4BD3-B103-A88AE8CD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4E7"/>
    <w:pPr>
      <w:spacing w:after="0" w:line="240" w:lineRule="auto"/>
    </w:pPr>
    <w:rPr>
      <w:rFonts w:ascii="Times New Roman" w:eastAsia="PMingLiU"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CA9"/>
    <w:pPr>
      <w:tabs>
        <w:tab w:val="center" w:pos="4680"/>
        <w:tab w:val="right" w:pos="9360"/>
      </w:tabs>
    </w:pPr>
  </w:style>
  <w:style w:type="character" w:customStyle="1" w:styleId="HeaderChar">
    <w:name w:val="Header Char"/>
    <w:basedOn w:val="DefaultParagraphFont"/>
    <w:link w:val="Header"/>
    <w:uiPriority w:val="99"/>
    <w:rsid w:val="008B2CA9"/>
    <w:rPr>
      <w:rFonts w:ascii="Times New Roman" w:eastAsia="PMingLiU" w:hAnsi="Times New Roman" w:cs="Times New Roman"/>
      <w:lang w:eastAsia="en-US"/>
    </w:rPr>
  </w:style>
  <w:style w:type="paragraph" w:styleId="Footer">
    <w:name w:val="footer"/>
    <w:basedOn w:val="Normal"/>
    <w:link w:val="FooterChar"/>
    <w:uiPriority w:val="99"/>
    <w:unhideWhenUsed/>
    <w:rsid w:val="008B2CA9"/>
    <w:pPr>
      <w:tabs>
        <w:tab w:val="center" w:pos="4680"/>
        <w:tab w:val="right" w:pos="9360"/>
      </w:tabs>
    </w:pPr>
  </w:style>
  <w:style w:type="character" w:customStyle="1" w:styleId="FooterChar">
    <w:name w:val="Footer Char"/>
    <w:basedOn w:val="DefaultParagraphFont"/>
    <w:link w:val="Footer"/>
    <w:uiPriority w:val="99"/>
    <w:rsid w:val="008B2CA9"/>
    <w:rPr>
      <w:rFonts w:ascii="Times New Roman" w:eastAsia="PMingLiU" w:hAnsi="Times New Roman" w:cs="Times New Roman"/>
      <w:lang w:eastAsia="en-US"/>
    </w:rPr>
  </w:style>
  <w:style w:type="paragraph" w:styleId="BalloonText">
    <w:name w:val="Balloon Text"/>
    <w:basedOn w:val="Normal"/>
    <w:link w:val="BalloonTextChar"/>
    <w:uiPriority w:val="99"/>
    <w:semiHidden/>
    <w:unhideWhenUsed/>
    <w:rsid w:val="009A0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E52"/>
    <w:rPr>
      <w:rFonts w:ascii="Segoe UI" w:eastAsia="PMingLiU" w:hAnsi="Segoe UI" w:cs="Segoe UI"/>
      <w:sz w:val="18"/>
      <w:szCs w:val="18"/>
      <w:lang w:eastAsia="en-US"/>
    </w:rPr>
  </w:style>
  <w:style w:type="character" w:styleId="Hyperlink">
    <w:name w:val="Hyperlink"/>
    <w:basedOn w:val="DefaultParagraphFont"/>
    <w:uiPriority w:val="99"/>
    <w:unhideWhenUsed/>
    <w:rsid w:val="00F31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typrospectus@rbccm.com" TargetMode="External"/><Relationship Id="rId3" Type="http://schemas.openxmlformats.org/officeDocument/2006/relationships/settings" Target="settings.xml"/><Relationship Id="rId7" Type="http://schemas.openxmlformats.org/officeDocument/2006/relationships/hyperlink" Target="mailto:prospectus-eq_fi@jpmchas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58E9-67F6-4B73-9F40-06FF9D59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 Matthew</dc:creator>
  <cp:lastModifiedBy>Liann Walborsky</cp:lastModifiedBy>
  <cp:revision>2</cp:revision>
  <dcterms:created xsi:type="dcterms:W3CDTF">2021-03-09T05:21:00Z</dcterms:created>
  <dcterms:modified xsi:type="dcterms:W3CDTF">2021-03-09T05:21:00Z</dcterms:modified>
</cp:coreProperties>
</file>