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5868efe8" Type="http://schemas.openxmlformats.org/officeDocument/2006/extended-properties" Target="docProps/app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4B" w:rsidRDefault="00C24B4B">
      <w:pPr>
        <w:spacing w:line="288" w:lineRule="auto"/>
      </w:pPr>
    </w:p>
    <w:p w:rsidR="00C24B4B" w:rsidRDefault="00C24B4B">
      <w:pPr>
        <w:spacing w:line="288" w:lineRule="auto"/>
      </w:pPr>
    </w:p>
    <w:p w:rsidR="00C24B4B" w:rsidRDefault="00E025C9">
      <w:pPr>
        <w:spacing w:line="288" w:lineRule="auto"/>
        <w:ind w:left="360" w:right="360"/>
        <w:jc w:val="center"/>
        <w:rPr>
          <w:b/>
          <w:sz w:val="22"/>
        </w:rPr>
      </w:pPr>
      <w:r>
        <w:rPr>
          <w:b/>
          <w:sz w:val="22"/>
        </w:rPr>
        <w:t>SJW GROUP ANNOUNCES 2020 SECOND QUARTER FINANCIAL RESULTS</w:t>
      </w:r>
    </w:p>
    <w:p w:rsidR="00C24B4B" w:rsidRDefault="00C24B4B">
      <w:pPr>
        <w:spacing w:line="288" w:lineRule="auto"/>
        <w:ind w:left="360" w:right="360"/>
        <w:jc w:val="center"/>
      </w:pPr>
    </w:p>
    <w:p w:rsidR="00C24B4B" w:rsidRDefault="00E025C9">
      <w:pPr>
        <w:spacing w:line="288" w:lineRule="auto"/>
        <w:ind w:firstLine="720"/>
        <w:jc w:val="both"/>
        <w:rPr>
          <w:sz w:val="22"/>
        </w:rPr>
      </w:pPr>
      <w:r>
        <w:rPr>
          <w:sz w:val="22"/>
        </w:rPr>
        <w:t>SAN JOSE, CA, August 6, 2020 – SJW Group (NYSE:  SJW) today reported financial results for the second quarter ended June 30, 2020.  SJW Group net income was $19.7 million for the quarter ended June 30, 2020, compared to $13.5 million for the same period in 2019.  Diluted earnings per share were $0.69 and $0.47 for the quarters ended June 30, 2020 and 2019, respectively.  Diluted earnings per share in 2020 includes $0.72 per share from ongoing operations offset by non-recurring expenses related to COVID-19 related reserves and expenses of $731,000 (net of tax) or $0.03 per share.  Diluted earnings per share in 2019 includes $0.47 per share from ongoing operations and $0.06 per share of interest income earned on temporarily invested proceeds from our equity offering in December 2018, offset by $0.06 per share of non-recurring expenses related to the Connecticut Water Service, Inc. ("CTWS") merger.</w:t>
      </w:r>
    </w:p>
    <w:p w:rsidR="00C24B4B" w:rsidRDefault="00C24B4B">
      <w:pPr>
        <w:spacing w:line="288" w:lineRule="auto"/>
        <w:ind w:firstLine="720"/>
        <w:jc w:val="both"/>
        <w:rPr>
          <w:sz w:val="22"/>
        </w:rPr>
      </w:pPr>
    </w:p>
    <w:p w:rsidR="00C24B4B" w:rsidRDefault="00E025C9">
      <w:pPr>
        <w:spacing w:line="288" w:lineRule="auto"/>
        <w:ind w:firstLine="720"/>
        <w:rPr>
          <w:sz w:val="22"/>
        </w:rPr>
      </w:pPr>
      <w:r>
        <w:rPr>
          <w:sz w:val="22"/>
        </w:rPr>
        <w:t>The Company is affirming its 2020 guidance provided in the 2020 first quarter press release of a range of $1.95 and $2.05 per diluted share.</w:t>
      </w:r>
    </w:p>
    <w:p w:rsidR="00C24B4B" w:rsidRDefault="00C24B4B">
      <w:pPr>
        <w:spacing w:line="288" w:lineRule="auto"/>
        <w:jc w:val="both"/>
        <w:rPr>
          <w:sz w:val="22"/>
        </w:rPr>
      </w:pPr>
    </w:p>
    <w:p w:rsidR="00C24B4B" w:rsidRDefault="00E025C9">
      <w:pPr>
        <w:spacing w:line="288" w:lineRule="auto"/>
        <w:ind w:firstLine="720"/>
        <w:jc w:val="both"/>
        <w:rPr>
          <w:sz w:val="22"/>
        </w:rPr>
      </w:pPr>
      <w:r>
        <w:rPr>
          <w:sz w:val="22"/>
        </w:rPr>
        <w:t>Operating revenue was $147.2 million for the quarter ended June 30, 2020, compared to $103.0 million in 2019.  The $44.2 million increase in revenue was primarily attributable to $32.8 million in new revenue as a result of the merger with CTWS, $8.4 million in increased customer usage, and $1.6 million in cumulative water rate increases, partially offset by a $1.3 million decrease in the net recognition of certain balancing and memorandum accounts.  In addition, we issued $2.2 million in customer rate credits in the prior year related to our billing settlement with the California Public Utilities Commission ("CPUC").  No similar rate credits were required in 2020.</w:t>
      </w:r>
    </w:p>
    <w:p w:rsidR="00C24B4B" w:rsidRDefault="00C24B4B">
      <w:pPr>
        <w:spacing w:line="288" w:lineRule="auto"/>
        <w:ind w:firstLine="720"/>
        <w:jc w:val="both"/>
        <w:rPr>
          <w:sz w:val="22"/>
        </w:rPr>
      </w:pPr>
    </w:p>
    <w:p w:rsidR="00C24B4B" w:rsidRDefault="00E025C9">
      <w:pPr>
        <w:spacing w:line="288" w:lineRule="auto"/>
        <w:ind w:firstLine="720"/>
        <w:jc w:val="both"/>
        <w:rPr>
          <w:sz w:val="22"/>
        </w:rPr>
      </w:pPr>
      <w:r>
        <w:rPr>
          <w:sz w:val="22"/>
        </w:rPr>
        <w:t>Operating expenses for the quarter ended June 30, 2020, were $111.1 million, compared to $81.0 million in 2019, an increase of $30.1 million.  Operating expenses include water production expenses for the second quarter of 2020 of $58.2 million compared to $42.1 million for the same period in 2019, an increase of $16.1 million.  The increase in water production expenses was primarily attributable to $6.9 million in new CTWS expenses, $6.7 million due to a decrease in surface water supplies, $2.9 million in higher customer water usage, and $1.5 million in higher per unit costs for purchased water, groundwater extraction and energy charges, partially offset by a $1.9 million decrease in cost recovery balancing and memorandum accounts.  Operating expenses, excluding water production costs, increased $14.1 million to $53.0 million from $38.9 million.  The increase was primarily due to a $7.7 million increase in depreciation expenses, $4.5 million in higher general and administrative expenses, $3.3 million in higher property taxes and other non-income taxes, and $605,000 in higher maintenance expenses.  The increases were primarily a result of inclusion of CTWS post-merger activities.  In addition, we experienced $1.8 million in lower merger related expenses.</w:t>
      </w:r>
    </w:p>
    <w:p w:rsidR="00C24B4B" w:rsidRDefault="00C24B4B">
      <w:pPr>
        <w:spacing w:line="288" w:lineRule="auto"/>
        <w:ind w:firstLine="720"/>
        <w:jc w:val="both"/>
        <w:rPr>
          <w:sz w:val="22"/>
        </w:rPr>
      </w:pPr>
    </w:p>
    <w:p w:rsidR="00C24B4B" w:rsidRDefault="00E025C9">
      <w:pPr>
        <w:spacing w:line="288" w:lineRule="auto"/>
        <w:ind w:firstLine="720"/>
        <w:jc w:val="both"/>
        <w:rPr>
          <w:sz w:val="22"/>
        </w:rPr>
      </w:pPr>
      <w:r>
        <w:rPr>
          <w:sz w:val="22"/>
        </w:rPr>
        <w:t>Other expense and income in the second quarter of 2020 included $4.1 million in new interest on SJW Group’s $510.0 million Senior Notes issued in October 2019 and $307,000 in new interest on Connecticut Water Company's $35.0 million Senior Notes issued in March 2020.  Other expense and income in the second quarter of 2019 included $2.3 million of interest income earned on temporarily invested proceeds from our equity offering in December 2018.  The proceeds were used to partially finance the CTWS merger and no similar income was earned in the second quarter of 2020.</w:t>
      </w:r>
    </w:p>
    <w:p w:rsidR="00C24B4B" w:rsidRDefault="00C24B4B">
      <w:pPr>
        <w:spacing w:line="288" w:lineRule="auto"/>
        <w:jc w:val="both"/>
        <w:rPr>
          <w:sz w:val="22"/>
        </w:rPr>
      </w:pPr>
    </w:p>
    <w:p w:rsidR="00C24B4B" w:rsidRDefault="00E025C9">
      <w:pPr>
        <w:spacing w:line="288" w:lineRule="auto"/>
        <w:ind w:firstLine="720"/>
        <w:jc w:val="both"/>
        <w:rPr>
          <w:sz w:val="22"/>
        </w:rPr>
      </w:pPr>
      <w:r>
        <w:rPr>
          <w:sz w:val="22"/>
        </w:rPr>
        <w:lastRenderedPageBreak/>
        <w:t>The effective consolidated income tax rates for the quarters ended June 30, 2020 and 2019, were approximately 18% and 23%, respectively.  The effective tax rate decreased primarily due to the flow-through impact of certain CTWS tax deductions.</w:t>
      </w:r>
    </w:p>
    <w:p w:rsidR="00C24B4B" w:rsidRDefault="00C24B4B">
      <w:pPr>
        <w:spacing w:line="288" w:lineRule="auto"/>
        <w:jc w:val="both"/>
        <w:rPr>
          <w:b/>
          <w:sz w:val="22"/>
        </w:rPr>
      </w:pPr>
    </w:p>
    <w:p w:rsidR="00C24B4B" w:rsidRDefault="00E025C9">
      <w:pPr>
        <w:spacing w:line="288" w:lineRule="auto"/>
        <w:jc w:val="both"/>
        <w:rPr>
          <w:b/>
          <w:sz w:val="22"/>
        </w:rPr>
      </w:pPr>
      <w:r>
        <w:rPr>
          <w:b/>
          <w:sz w:val="22"/>
        </w:rPr>
        <w:tab/>
      </w:r>
      <w:r>
        <w:rPr>
          <w:sz w:val="22"/>
        </w:rPr>
        <w:t>Year-to-date net income was $22.1 million, compared to $19.4 million in 2019.  Diluted earnings per share were $0.77 in the first six months of 2020, compared to $0.68 per diluted share for the same period in 2019.  Diluted earnings per share in 2020 includes $0.86 per share from ongoing operations offset by non-recurring expenses related to the CTWS merger and integration fees of $1.4 million (net of tax) or $0.05 per share and COVID-19 related reserves and expenses of $1.2 million (net of tax) or $0.04 per share.  Diluted earnings per share in 2019 includes $0.69 per share from ongoing operations and $0.11 per share of interest income earned on temporarily invested proceeds from our equity offering in December 2018, offset by $0.12 per share of non-recurring expenses related to the CTWS merger.</w:t>
      </w:r>
    </w:p>
    <w:p w:rsidR="00C24B4B" w:rsidRDefault="00C24B4B">
      <w:pPr>
        <w:spacing w:line="288" w:lineRule="auto"/>
        <w:jc w:val="both"/>
        <w:rPr>
          <w:sz w:val="22"/>
        </w:rPr>
      </w:pPr>
    </w:p>
    <w:p w:rsidR="00C24B4B" w:rsidRDefault="00E025C9">
      <w:pPr>
        <w:spacing w:line="288" w:lineRule="auto"/>
        <w:ind w:firstLine="720"/>
        <w:jc w:val="both"/>
        <w:rPr>
          <w:sz w:val="22"/>
        </w:rPr>
      </w:pPr>
      <w:r>
        <w:rPr>
          <w:sz w:val="22"/>
        </w:rPr>
        <w:t>Year-to-date operating revenue increased by $82.4 million to $263.0 million from $180.6 million in the first six months of 2020.  The increase was attributable to $60.2 million in new revenue as a result of the merger with CTWS, $14.4 million in increased customer usage, and $5.1 million in cumulative water rate increases.  In addition, as previously noted we issued $2.2 million in customer rate credits in the prior year related to our billing settlement with the CPUC.  No similar rate credits were required in 2020.</w:t>
      </w:r>
    </w:p>
    <w:p w:rsidR="00C24B4B" w:rsidRDefault="00C24B4B">
      <w:pPr>
        <w:spacing w:line="288" w:lineRule="auto"/>
        <w:ind w:firstLine="720"/>
        <w:jc w:val="both"/>
        <w:rPr>
          <w:sz w:val="22"/>
        </w:rPr>
      </w:pPr>
    </w:p>
    <w:p w:rsidR="00C24B4B" w:rsidRDefault="00E025C9">
      <w:pPr>
        <w:spacing w:line="288" w:lineRule="auto"/>
        <w:ind w:firstLine="720"/>
        <w:jc w:val="both"/>
        <w:rPr>
          <w:sz w:val="22"/>
        </w:rPr>
      </w:pPr>
      <w:r>
        <w:rPr>
          <w:sz w:val="22"/>
        </w:rPr>
        <w:t>Year-to-date water production expenses increased to $102.0 million from $68.9 million in 2019.  The $33.1 million increase was attributable to $13.1 million in new CTWS expenses, $12.1 million due to a decrease in the use of available surface water supplies, $8.2 million in higher customer water usage, and $3.0 million in higher per unit costs for purchased water, groundwater extraction and energy charges, partially offset by a $3.4 million decrease in cost recovery balancing and memorandum accounts.  Operating expenses, excluding water production costs, increased $32.1 million to $109.5 million from $77.4 million.  The increase was primarily due to a $13.9 million increase in depreciation expenses, $13.7 million in higher general and administrative expenses, $6.6 million in higher property taxes and other non-income taxes, and $2.4 million in higher maintenance expenses.  The increases were primarily a result of inclusion of CTWS post-merger activities.  In addition, we experienced $4.4 million in lower merger related expenses.</w:t>
      </w:r>
    </w:p>
    <w:p w:rsidR="00C24B4B" w:rsidRDefault="00C24B4B">
      <w:pPr>
        <w:spacing w:line="288" w:lineRule="auto"/>
        <w:ind w:firstLine="720"/>
        <w:jc w:val="both"/>
        <w:rPr>
          <w:sz w:val="22"/>
        </w:rPr>
      </w:pPr>
    </w:p>
    <w:p w:rsidR="00C24B4B" w:rsidRDefault="00E025C9">
      <w:pPr>
        <w:spacing w:line="288" w:lineRule="auto"/>
        <w:ind w:firstLine="720"/>
        <w:jc w:val="both"/>
        <w:rPr>
          <w:sz w:val="22"/>
        </w:rPr>
      </w:pPr>
      <w:r>
        <w:rPr>
          <w:sz w:val="22"/>
        </w:rPr>
        <w:t>Other expense and income year-to-date for 2020 included $8.2 million in new interest on SJW Group’s $510.0 million Senior Notes issued in October 2019, $858,000 in new interest on San Jose Water Company's $80.0 million Senior Notes issued March 2019 and $307,000 in new interest on Connecticut Water Company's $35.0 million Senior Notes issued in March 2020.  Other expense and income year-to-date 2019 included $4.2 million of interest income earned on temporarily invested proceeds from our equity offering in December 2018.  The proceeds were used to partially finance the CTWS merger and no similar income was earned in 2020.</w:t>
      </w:r>
    </w:p>
    <w:p w:rsidR="00C24B4B" w:rsidRDefault="00C24B4B">
      <w:pPr>
        <w:spacing w:line="288" w:lineRule="auto"/>
        <w:jc w:val="both"/>
        <w:rPr>
          <w:sz w:val="22"/>
        </w:rPr>
      </w:pPr>
    </w:p>
    <w:p w:rsidR="00C24B4B" w:rsidRDefault="00E025C9">
      <w:pPr>
        <w:spacing w:line="288" w:lineRule="auto"/>
        <w:ind w:firstLine="720"/>
        <w:jc w:val="both"/>
        <w:rPr>
          <w:sz w:val="22"/>
        </w:rPr>
      </w:pPr>
      <w:r>
        <w:rPr>
          <w:sz w:val="22"/>
        </w:rPr>
        <w:t>The effective consolidated income tax rates for the six-month periods ended June 30, 2020 and 2019, were approximately 17% and 24%, respectively.  The effective tax rate decreased primarily due to the flow-through impact of certain CTWS tax deductions and lower pre-tax income.</w:t>
      </w:r>
    </w:p>
    <w:p w:rsidR="00C24B4B" w:rsidRDefault="00E025C9">
      <w:pPr>
        <w:spacing w:line="288" w:lineRule="auto"/>
        <w:jc w:val="both"/>
        <w:rPr>
          <w:sz w:val="22"/>
        </w:rPr>
      </w:pPr>
      <w:r>
        <w:rPr>
          <w:sz w:val="22"/>
        </w:rPr>
        <w:tab/>
      </w:r>
    </w:p>
    <w:p w:rsidR="00C24B4B" w:rsidRDefault="00C24B4B">
      <w:pPr>
        <w:spacing w:line="288" w:lineRule="auto"/>
        <w:jc w:val="both"/>
        <w:rPr>
          <w:sz w:val="22"/>
        </w:rPr>
      </w:pPr>
    </w:p>
    <w:p w:rsidR="00C24B4B" w:rsidRDefault="00E025C9">
      <w:pPr>
        <w:spacing w:line="288" w:lineRule="auto"/>
        <w:jc w:val="both"/>
        <w:rPr>
          <w:b/>
          <w:sz w:val="22"/>
        </w:rPr>
      </w:pPr>
      <w:r>
        <w:rPr>
          <w:b/>
          <w:sz w:val="22"/>
        </w:rPr>
        <w:t>About SJW Group</w:t>
      </w:r>
      <w:r>
        <w:rPr>
          <w:sz w:val="22"/>
        </w:rPr>
        <w:tab/>
      </w:r>
    </w:p>
    <w:p w:rsidR="00C24B4B" w:rsidRDefault="00C24B4B">
      <w:pPr>
        <w:spacing w:line="288" w:lineRule="auto"/>
        <w:jc w:val="both"/>
        <w:rPr>
          <w:sz w:val="22"/>
        </w:rPr>
      </w:pPr>
    </w:p>
    <w:p w:rsidR="00C24B4B" w:rsidRDefault="00E025C9">
      <w:pPr>
        <w:spacing w:line="288" w:lineRule="auto"/>
        <w:jc w:val="both"/>
        <w:rPr>
          <w:sz w:val="22"/>
        </w:rPr>
      </w:pPr>
      <w:r>
        <w:rPr>
          <w:sz w:val="22"/>
        </w:rPr>
        <w:tab/>
        <w:t xml:space="preserve">SJW Group is the second largest investor-owned pure play water and wastewater utility based on rate base in the United States, providing life-saving and high-quality water service to nearly 1.5 million people.  SJW Group’s </w:t>
      </w:r>
      <w:r>
        <w:rPr>
          <w:sz w:val="22"/>
        </w:rPr>
        <w:lastRenderedPageBreak/>
        <w:t xml:space="preserve">locally led and operated water utilities - San Jose Water Company in California; Connecticut Water Company, Avon Water Company and Heritage Village Water Company in Connecticut; Maine Water Company in Maine; and SJWTX, Inc. (dba Canyon Lake Water Service Company) in Texas - possess the financial strength, operational expertise and technological innovation to deliver outstanding service to customers, safeguard the environment, and provide opportunities to employees.  SJW Group remains focused on investing in its operations, remaining actively engaged in its local communities and delivering continued sustainable value to its shareholders.  For more information about SJW Group, please visit </w:t>
      </w:r>
      <w:hyperlink r:id="rId6" w:history="1">
        <w:r w:rsidR="008B6DD0" w:rsidRPr="00E57A8D">
          <w:rPr>
            <w:rStyle w:val="Hyperlink"/>
            <w:sz w:val="22"/>
          </w:rPr>
          <w:t>www.sjwgroup.com</w:t>
        </w:r>
      </w:hyperlink>
      <w:r>
        <w:rPr>
          <w:sz w:val="22"/>
        </w:rPr>
        <w:t>.</w:t>
      </w:r>
    </w:p>
    <w:p w:rsidR="008B6DD0" w:rsidRDefault="008B6DD0">
      <w:pPr>
        <w:spacing w:line="288" w:lineRule="auto"/>
        <w:jc w:val="both"/>
        <w:rPr>
          <w:sz w:val="22"/>
        </w:rPr>
      </w:pPr>
    </w:p>
    <w:p w:rsidR="008B6DD0" w:rsidRPr="007B2495" w:rsidRDefault="008B6DD0" w:rsidP="008B6DD0">
      <w:pPr>
        <w:spacing w:line="264" w:lineRule="auto"/>
        <w:jc w:val="both"/>
        <w:rPr>
          <w:b/>
          <w:sz w:val="24"/>
          <w:szCs w:val="24"/>
        </w:rPr>
      </w:pPr>
      <w:r w:rsidRPr="007B2495">
        <w:rPr>
          <w:b/>
          <w:sz w:val="24"/>
          <w:szCs w:val="24"/>
        </w:rPr>
        <w:t>Contact</w:t>
      </w:r>
    </w:p>
    <w:p w:rsidR="008B6DD0" w:rsidRPr="007B2495" w:rsidRDefault="008B6DD0" w:rsidP="008B6DD0">
      <w:pPr>
        <w:spacing w:line="264" w:lineRule="auto"/>
        <w:jc w:val="both"/>
        <w:rPr>
          <w:b/>
          <w:sz w:val="24"/>
          <w:szCs w:val="24"/>
        </w:rPr>
      </w:pPr>
    </w:p>
    <w:p w:rsidR="008B6DD0" w:rsidRPr="007B2495" w:rsidRDefault="008B6DD0" w:rsidP="008B6DD0">
      <w:pPr>
        <w:spacing w:line="264" w:lineRule="auto"/>
        <w:rPr>
          <w:b/>
          <w:sz w:val="24"/>
          <w:szCs w:val="24"/>
        </w:rPr>
      </w:pPr>
      <w:r w:rsidRPr="007B2495">
        <w:rPr>
          <w:sz w:val="24"/>
          <w:szCs w:val="24"/>
          <w:shd w:val="clear" w:color="auto" w:fill="FEFEFE"/>
        </w:rPr>
        <w:t>SJW Group</w:t>
      </w:r>
      <w:r w:rsidRPr="007B2495">
        <w:rPr>
          <w:sz w:val="24"/>
          <w:szCs w:val="24"/>
        </w:rPr>
        <w:br/>
      </w:r>
      <w:r w:rsidRPr="007B2495">
        <w:rPr>
          <w:sz w:val="24"/>
          <w:szCs w:val="24"/>
          <w:shd w:val="clear" w:color="auto" w:fill="FEFEFE"/>
        </w:rPr>
        <w:t>James P. Lynch, 408-279-7966</w:t>
      </w:r>
      <w:r w:rsidRPr="007B2495">
        <w:rPr>
          <w:sz w:val="24"/>
          <w:szCs w:val="24"/>
        </w:rPr>
        <w:br/>
      </w:r>
      <w:r w:rsidRPr="007B2495">
        <w:rPr>
          <w:sz w:val="24"/>
          <w:szCs w:val="24"/>
          <w:shd w:val="clear" w:color="auto" w:fill="FEFEFE"/>
        </w:rPr>
        <w:t>Chief Financial Officer and Treasurer</w:t>
      </w:r>
    </w:p>
    <w:p w:rsidR="008B6DD0" w:rsidRDefault="008B6DD0">
      <w:pPr>
        <w:spacing w:line="288" w:lineRule="auto"/>
        <w:jc w:val="both"/>
        <w:rPr>
          <w:sz w:val="22"/>
        </w:rPr>
      </w:pPr>
    </w:p>
    <w:p w:rsidR="00C24B4B" w:rsidRDefault="00C24B4B">
      <w:pPr>
        <w:spacing w:line="288" w:lineRule="auto"/>
        <w:jc w:val="both"/>
        <w:rPr>
          <w:sz w:val="22"/>
        </w:rPr>
      </w:pPr>
    </w:p>
    <w:p w:rsidR="00C24B4B" w:rsidRDefault="00E025C9">
      <w:pPr>
        <w:spacing w:line="288" w:lineRule="auto"/>
        <w:rPr>
          <w:b/>
          <w:sz w:val="22"/>
        </w:rPr>
      </w:pPr>
      <w:bookmarkStart w:id="0" w:name="_GoBack"/>
      <w:bookmarkEnd w:id="0"/>
      <w:r>
        <w:rPr>
          <w:b/>
          <w:sz w:val="22"/>
        </w:rPr>
        <w:t>Forward-Looking Statements</w:t>
      </w:r>
    </w:p>
    <w:p w:rsidR="00C24B4B" w:rsidRDefault="00C24B4B">
      <w:pPr>
        <w:spacing w:line="288" w:lineRule="auto"/>
        <w:rPr>
          <w:sz w:val="22"/>
        </w:rPr>
      </w:pPr>
    </w:p>
    <w:p w:rsidR="00C24B4B" w:rsidRDefault="00E025C9">
      <w:pPr>
        <w:spacing w:line="288" w:lineRule="auto"/>
        <w:rPr>
          <w:sz w:val="22"/>
        </w:rPr>
      </w:pPr>
      <w:r>
        <w:rPr>
          <w:sz w:val="22"/>
        </w:rPr>
        <w:tab/>
      </w:r>
      <w:r>
        <w:rPr>
          <w:b/>
          <w:sz w:val="22"/>
        </w:rPr>
        <w:t>This release contains forward-looking statements within the meaning of the Private Securities Litigation Reform Act of 1995, as amended.  Some of these forward-looking statements can be identified by the use of forward-looking words such as "believes," "expects," "may," "will," "should," "seeks," "approximately," "intends," "plans," "estimates," "projects," "strategy," or "anticipates," or the negative of those words or other comparable terminology.  These forward looking statements are only predictions and are subject to risks, uncertainties and assumptions that are difficult to predict.</w:t>
      </w:r>
    </w:p>
    <w:p w:rsidR="00C24B4B" w:rsidRDefault="00C24B4B">
      <w:pPr>
        <w:spacing w:line="288" w:lineRule="auto"/>
        <w:rPr>
          <w:b/>
          <w:sz w:val="22"/>
        </w:rPr>
      </w:pPr>
    </w:p>
    <w:p w:rsidR="00C24B4B" w:rsidRDefault="00E025C9">
      <w:pPr>
        <w:spacing w:line="288" w:lineRule="auto"/>
        <w:rPr>
          <w:b/>
          <w:sz w:val="22"/>
        </w:rPr>
      </w:pPr>
      <w:r>
        <w:rPr>
          <w:b/>
          <w:sz w:val="22"/>
        </w:rPr>
        <w:tab/>
        <w:t>The accuracy of such statements is subject to a number of risks, uncertainties and assumptions including, but not limited to, the following factors: (1) the effect of water, utility, environmental and other governmental policies and regulations, including actions concerning rates, authorized return on equity, authorized capital structures, capital expenditures and other decisions; (2) changes in demand for water and other services; (3) the impact of the Coronavirus ("COVID-19") pandemic on our business operation and financial results; (4) unanticipated weather conditions and changes in seasonality; (5) climate change and the effects thereof; (6) the risk that the benefits expected from the merger of SJW Group and Connecticut Water Service, Inc. (the "Merger") will not be realized; (7) the risk that the integration of Connecticut Water Service, Inc. will be more difficult, time-consuming or expensive than anticipated; (8) the outcome of the California Public Utilities Commission's investigation in the Merger; (9) unexpected costs, charges or expenses resulting from the Merger or otherwise; (10) our ability to successfully evaluate investments in new business and growth initiatives; (11) the risk of work stoppages, strikes and other labor-related actions; (12) catastrophic events such as fires, earthquakes, explosions, floods, ice storms, tornadoes, hurricanes, terrorist acts, physical attacks, cyber-attacks, or other similar occurrences; (13) changes in general economic, political, business and financial market conditions; (14) the ability to obtain financing on favorable terms, which can be affected by various factors, including credit ratings, changes in interest rates, compliance with regulatory requirements, compliance with the terms and conditions of our outstanding indebtedness, and general stock and debt market conditions; and (15) legislative and general market and economic developments.</w:t>
      </w:r>
    </w:p>
    <w:p w:rsidR="00C24B4B" w:rsidRDefault="00C24B4B">
      <w:pPr>
        <w:spacing w:line="288" w:lineRule="auto"/>
        <w:rPr>
          <w:b/>
          <w:sz w:val="22"/>
        </w:rPr>
      </w:pPr>
    </w:p>
    <w:p w:rsidR="00C24B4B" w:rsidRDefault="00E025C9">
      <w:pPr>
        <w:spacing w:line="288" w:lineRule="auto"/>
        <w:rPr>
          <w:b/>
          <w:sz w:val="22"/>
        </w:rPr>
      </w:pPr>
      <w:r>
        <w:rPr>
          <w:b/>
          <w:sz w:val="22"/>
        </w:rPr>
        <w:tab/>
        <w:t xml:space="preserve">Results for a quarter are not indicative of results for a full year due to seasonality and other factors.  In addition, actual results are subject to other risks and uncertainties that relate more broadly to our overall </w:t>
      </w:r>
      <w:r>
        <w:rPr>
          <w:b/>
          <w:sz w:val="22"/>
        </w:rPr>
        <w:lastRenderedPageBreak/>
        <w:t>business, including those more fully described in our filings with the SEC, including our most recent reports on Form 10-K, Form 10-Q and Form 8-K.  Forward-looking statements are not guarantees of performance, and speak only as of the date made, and we undertake no obligation to update or revise any forward-looking statements except as required by law.</w:t>
      </w:r>
    </w:p>
    <w:p w:rsidR="00C24B4B" w:rsidRDefault="00E025C9">
      <w:pPr>
        <w:pageBreakBefore/>
        <w:spacing w:line="288" w:lineRule="auto"/>
        <w:jc w:val="center"/>
      </w:pPr>
      <w:r>
        <w:lastRenderedPageBreak/>
        <w:t>SJW Group</w:t>
      </w:r>
    </w:p>
    <w:p w:rsidR="00C24B4B" w:rsidRDefault="00E025C9">
      <w:pPr>
        <w:spacing w:line="288" w:lineRule="auto"/>
        <w:jc w:val="center"/>
      </w:pPr>
      <w:r>
        <w:t>Condensed Consolidated Statements of Comprehensive Income</w:t>
      </w:r>
    </w:p>
    <w:p w:rsidR="00C24B4B" w:rsidRDefault="00E025C9">
      <w:pPr>
        <w:tabs>
          <w:tab w:val="left" w:pos="0"/>
        </w:tabs>
        <w:spacing w:line="288" w:lineRule="auto"/>
        <w:jc w:val="center"/>
      </w:pPr>
      <w:r>
        <w:t>(Unaudited)</w:t>
      </w:r>
    </w:p>
    <w:p w:rsidR="00C24B4B" w:rsidRDefault="00E025C9">
      <w:pPr>
        <w:spacing w:line="288" w:lineRule="auto"/>
        <w:jc w:val="center"/>
      </w:pPr>
      <w:r>
        <w:t>(in thousands, except per share data)</w:t>
      </w:r>
    </w:p>
    <w:p w:rsidR="00C24B4B" w:rsidRDefault="00C24B4B">
      <w:pPr>
        <w:spacing w:after="140"/>
        <w:rPr>
          <w:sz w:val="18"/>
        </w:rPr>
      </w:pPr>
    </w:p>
    <w:tbl>
      <w:tblPr>
        <w:tblW w:w="10240" w:type="dxa"/>
        <w:tblInd w:w="60" w:type="dxa"/>
        <w:tblLayout w:type="fixed"/>
        <w:tblCellMar>
          <w:left w:w="10" w:type="dxa"/>
          <w:right w:w="10" w:type="dxa"/>
        </w:tblCellMar>
        <w:tblLook w:val="0000" w:firstRow="0" w:lastRow="0" w:firstColumn="0" w:lastColumn="0" w:noHBand="0" w:noVBand="0"/>
      </w:tblPr>
      <w:tblGrid>
        <w:gridCol w:w="5000"/>
        <w:gridCol w:w="110"/>
        <w:gridCol w:w="1053"/>
        <w:gridCol w:w="77"/>
        <w:gridCol w:w="80"/>
        <w:gridCol w:w="1163"/>
        <w:gridCol w:w="77"/>
        <w:gridCol w:w="80"/>
        <w:gridCol w:w="110"/>
        <w:gridCol w:w="1073"/>
        <w:gridCol w:w="77"/>
        <w:gridCol w:w="80"/>
        <w:gridCol w:w="1183"/>
        <w:gridCol w:w="77"/>
      </w:tblGrid>
      <w:tr w:rsidR="00E025C9" w:rsidTr="00E025C9">
        <w:trPr>
          <w:trHeight w:hRule="exact" w:val="260"/>
        </w:trPr>
        <w:tc>
          <w:tcPr>
            <w:tcW w:w="5000" w:type="dxa"/>
            <w:tcMar>
              <w:left w:w="60" w:type="dxa"/>
              <w:right w:w="0" w:type="dxa"/>
            </w:tcMar>
            <w:vAlign w:val="bottom"/>
          </w:tcPr>
          <w:p w:rsidR="00C24B4B" w:rsidRDefault="00C24B4B">
            <w:pPr>
              <w:keepNext/>
              <w:keepLines/>
              <w:spacing w:before="40" w:after="40"/>
            </w:pPr>
          </w:p>
        </w:tc>
        <w:tc>
          <w:tcPr>
            <w:tcW w:w="0" w:type="dxa"/>
            <w:gridSpan w:val="6"/>
            <w:tcMar>
              <w:left w:w="60" w:type="dxa"/>
              <w:right w:w="60" w:type="dxa"/>
            </w:tcMar>
            <w:vAlign w:val="bottom"/>
          </w:tcPr>
          <w:p w:rsidR="00C24B4B" w:rsidRDefault="00E025C9">
            <w:pPr>
              <w:keepNext/>
              <w:keepLines/>
              <w:spacing w:before="40" w:after="40"/>
              <w:jc w:val="center"/>
              <w:rPr>
                <w:b/>
                <w:sz w:val="16"/>
              </w:rPr>
            </w:pPr>
            <w:r>
              <w:rPr>
                <w:b/>
                <w:color w:val="000000"/>
                <w:sz w:val="16"/>
              </w:rPr>
              <w:t>Three months ended June 30,</w:t>
            </w:r>
          </w:p>
        </w:tc>
        <w:tc>
          <w:tcPr>
            <w:tcW w:w="80" w:type="dxa"/>
            <w:tcMar>
              <w:left w:w="0" w:type="dxa"/>
              <w:right w:w="0" w:type="dxa"/>
            </w:tcMar>
            <w:vAlign w:val="bottom"/>
          </w:tcPr>
          <w:p w:rsidR="00C24B4B" w:rsidRDefault="00C24B4B">
            <w:pPr>
              <w:keepNext/>
              <w:keepLines/>
              <w:spacing w:before="40" w:after="40"/>
            </w:pPr>
          </w:p>
        </w:tc>
        <w:tc>
          <w:tcPr>
            <w:tcW w:w="0" w:type="dxa"/>
            <w:gridSpan w:val="6"/>
            <w:tcMar>
              <w:left w:w="60" w:type="dxa"/>
              <w:right w:w="60" w:type="dxa"/>
            </w:tcMar>
            <w:vAlign w:val="bottom"/>
          </w:tcPr>
          <w:p w:rsidR="00C24B4B" w:rsidRDefault="00E025C9">
            <w:pPr>
              <w:keepNext/>
              <w:keepLines/>
              <w:spacing w:before="40" w:after="40"/>
              <w:jc w:val="center"/>
              <w:rPr>
                <w:b/>
                <w:sz w:val="16"/>
              </w:rPr>
            </w:pPr>
            <w:r>
              <w:rPr>
                <w:b/>
                <w:color w:val="000000"/>
                <w:sz w:val="16"/>
              </w:rPr>
              <w:t>Six months ended June 30,</w:t>
            </w:r>
          </w:p>
        </w:tc>
      </w:tr>
      <w:tr w:rsidR="00E025C9" w:rsidTr="00E025C9">
        <w:trPr>
          <w:trHeight w:hRule="exact" w:val="260"/>
        </w:trPr>
        <w:tc>
          <w:tcPr>
            <w:tcW w:w="5000" w:type="dxa"/>
            <w:tcMar>
              <w:left w:w="60" w:type="dxa"/>
              <w:right w:w="0" w:type="dxa"/>
            </w:tcMar>
            <w:vAlign w:val="bottom"/>
          </w:tcPr>
          <w:p w:rsidR="00C24B4B" w:rsidRDefault="00C24B4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C24B4B" w:rsidRDefault="00E025C9">
            <w:pPr>
              <w:keepNext/>
              <w:keepLines/>
              <w:spacing w:before="40" w:after="40"/>
              <w:jc w:val="center"/>
              <w:rPr>
                <w:b/>
                <w:sz w:val="16"/>
              </w:rPr>
            </w:pPr>
            <w:r>
              <w:rPr>
                <w:b/>
                <w:color w:val="000000"/>
                <w:sz w:val="16"/>
              </w:rPr>
              <w:t>2020</w:t>
            </w:r>
          </w:p>
        </w:tc>
        <w:tc>
          <w:tcPr>
            <w:tcW w:w="80" w:type="dxa"/>
            <w:tcBorders>
              <w:top w:val="single" w:sz="8" w:space="0" w:color="auto"/>
            </w:tcBorders>
            <w:tcMar>
              <w:left w:w="0" w:type="dxa"/>
              <w:right w:w="0" w:type="dxa"/>
            </w:tcMar>
            <w:vAlign w:val="bottom"/>
          </w:tcPr>
          <w:p w:rsidR="00C24B4B" w:rsidRDefault="00C24B4B">
            <w:pPr>
              <w:keepNext/>
              <w:keepLines/>
              <w:spacing w:before="40" w:after="40"/>
            </w:pPr>
          </w:p>
        </w:tc>
        <w:tc>
          <w:tcPr>
            <w:tcW w:w="1163" w:type="dxa"/>
            <w:gridSpan w:val="2"/>
            <w:tcBorders>
              <w:top w:val="single" w:sz="8" w:space="0" w:color="auto"/>
              <w:bottom w:val="single" w:sz="8" w:space="0" w:color="auto"/>
            </w:tcBorders>
            <w:tcMar>
              <w:left w:w="60" w:type="dxa"/>
              <w:right w:w="60" w:type="dxa"/>
            </w:tcMar>
            <w:vAlign w:val="bottom"/>
          </w:tcPr>
          <w:p w:rsidR="00C24B4B" w:rsidRDefault="00E025C9">
            <w:pPr>
              <w:keepNext/>
              <w:keepLines/>
              <w:spacing w:before="40" w:after="40"/>
              <w:jc w:val="center"/>
              <w:rPr>
                <w:b/>
                <w:sz w:val="16"/>
              </w:rPr>
            </w:pPr>
            <w:r>
              <w:rPr>
                <w:b/>
                <w:color w:val="000000"/>
                <w:sz w:val="16"/>
              </w:rPr>
              <w:t>2019</w:t>
            </w:r>
          </w:p>
        </w:tc>
        <w:tc>
          <w:tcPr>
            <w:tcW w:w="80" w:type="dxa"/>
            <w:tcMar>
              <w:left w:w="0" w:type="dxa"/>
              <w:right w:w="0" w:type="dxa"/>
            </w:tcMar>
            <w:vAlign w:val="bottom"/>
          </w:tcPr>
          <w:p w:rsidR="00C24B4B" w:rsidRDefault="00C24B4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C24B4B" w:rsidRDefault="00E025C9">
            <w:pPr>
              <w:keepNext/>
              <w:keepLines/>
              <w:spacing w:before="40" w:after="40"/>
              <w:jc w:val="center"/>
              <w:rPr>
                <w:b/>
                <w:sz w:val="16"/>
              </w:rPr>
            </w:pPr>
            <w:r>
              <w:rPr>
                <w:b/>
                <w:color w:val="000000"/>
                <w:sz w:val="16"/>
              </w:rPr>
              <w:t>2020</w:t>
            </w:r>
          </w:p>
        </w:tc>
        <w:tc>
          <w:tcPr>
            <w:tcW w:w="80" w:type="dxa"/>
            <w:tcBorders>
              <w:top w:val="single" w:sz="8" w:space="0" w:color="auto"/>
            </w:tcBorders>
            <w:tcMar>
              <w:left w:w="0" w:type="dxa"/>
              <w:right w:w="0" w:type="dxa"/>
            </w:tcMar>
            <w:vAlign w:val="bottom"/>
          </w:tcPr>
          <w:p w:rsidR="00C24B4B" w:rsidRDefault="00C24B4B">
            <w:pPr>
              <w:keepNext/>
              <w:keepLines/>
              <w:spacing w:before="40" w:after="40"/>
            </w:pPr>
          </w:p>
        </w:tc>
        <w:tc>
          <w:tcPr>
            <w:tcW w:w="1183" w:type="dxa"/>
            <w:gridSpan w:val="2"/>
            <w:tcBorders>
              <w:top w:val="single" w:sz="8" w:space="0" w:color="auto"/>
              <w:bottom w:val="single" w:sz="8" w:space="0" w:color="auto"/>
            </w:tcBorders>
            <w:tcMar>
              <w:left w:w="60" w:type="dxa"/>
              <w:right w:w="60" w:type="dxa"/>
            </w:tcMar>
            <w:vAlign w:val="bottom"/>
          </w:tcPr>
          <w:p w:rsidR="00C24B4B" w:rsidRDefault="00E025C9">
            <w:pPr>
              <w:keepNext/>
              <w:keepLines/>
              <w:spacing w:before="40" w:after="40"/>
              <w:jc w:val="center"/>
              <w:rPr>
                <w:b/>
                <w:sz w:val="16"/>
              </w:rPr>
            </w:pPr>
            <w:r>
              <w:rPr>
                <w:b/>
                <w:color w:val="000000"/>
                <w:sz w:val="16"/>
              </w:rPr>
              <w:t>2019</w:t>
            </w:r>
          </w:p>
        </w:tc>
      </w:tr>
      <w:tr w:rsidR="00C24B4B">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REVENUE</w:t>
            </w:r>
            <w:r>
              <w:tab/>
            </w: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53" w:type="dxa"/>
            <w:tcMar>
              <w:left w:w="0" w:type="dxa"/>
              <w:right w:w="0" w:type="dxa"/>
            </w:tcMar>
            <w:vAlign w:val="bottom"/>
          </w:tcPr>
          <w:p w:rsidR="00C24B4B" w:rsidRDefault="00E025C9">
            <w:pPr>
              <w:keepNext/>
              <w:keepLines/>
              <w:spacing w:before="40" w:after="40"/>
              <w:jc w:val="right"/>
            </w:pPr>
            <w:r>
              <w:rPr>
                <w:color w:val="000000"/>
              </w:rPr>
              <w:t>147,209</w:t>
            </w:r>
          </w:p>
        </w:tc>
        <w:tc>
          <w:tcPr>
            <w:tcW w:w="77" w:type="dxa"/>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102,965</w:t>
            </w:r>
          </w:p>
        </w:tc>
        <w:tc>
          <w:tcPr>
            <w:tcW w:w="77" w:type="dxa"/>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73" w:type="dxa"/>
            <w:tcMar>
              <w:left w:w="0" w:type="dxa"/>
              <w:right w:w="0" w:type="dxa"/>
            </w:tcMar>
            <w:vAlign w:val="bottom"/>
          </w:tcPr>
          <w:p w:rsidR="00C24B4B" w:rsidRDefault="00E025C9">
            <w:pPr>
              <w:keepNext/>
              <w:keepLines/>
              <w:spacing w:before="40" w:after="40"/>
              <w:jc w:val="right"/>
            </w:pPr>
            <w:r>
              <w:rPr>
                <w:color w:val="000000"/>
              </w:rPr>
              <w:t>262,963</w:t>
            </w:r>
          </w:p>
        </w:tc>
        <w:tc>
          <w:tcPr>
            <w:tcW w:w="77" w:type="dxa"/>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180,647</w:t>
            </w:r>
          </w:p>
        </w:tc>
        <w:tc>
          <w:tcPr>
            <w:tcW w:w="77" w:type="dxa"/>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spacing w:before="40" w:after="40"/>
            </w:pPr>
            <w:r>
              <w:rPr>
                <w:color w:val="000000"/>
              </w:rPr>
              <w:t>OPERATING EXPENSE:</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63" w:type="dxa"/>
            <w:gridSpan w:val="2"/>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83"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300"/>
        </w:trPr>
        <w:tc>
          <w:tcPr>
            <w:tcW w:w="5000" w:type="dxa"/>
            <w:tcMar>
              <w:left w:w="420" w:type="dxa"/>
              <w:right w:w="40" w:type="dxa"/>
            </w:tcMar>
            <w:vAlign w:val="bottom"/>
          </w:tcPr>
          <w:p w:rsidR="00C24B4B" w:rsidRDefault="00E025C9">
            <w:pPr>
              <w:keepNext/>
              <w:keepLines/>
              <w:spacing w:before="40" w:after="40"/>
            </w:pPr>
            <w:r>
              <w:rPr>
                <w:color w:val="000000"/>
              </w:rPr>
              <w:t>Production Expenses:</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63" w:type="dxa"/>
            <w:gridSpan w:val="2"/>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83"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300"/>
        </w:trPr>
        <w:tc>
          <w:tcPr>
            <w:tcW w:w="5000" w:type="dxa"/>
            <w:tcMar>
              <w:left w:w="780" w:type="dxa"/>
              <w:right w:w="40" w:type="dxa"/>
            </w:tcMar>
            <w:vAlign w:val="bottom"/>
          </w:tcPr>
          <w:p w:rsidR="00C24B4B" w:rsidRDefault="00E025C9">
            <w:pPr>
              <w:keepNext/>
              <w:keepLines/>
              <w:tabs>
                <w:tab w:val="left" w:leader="dot" w:pos="5000"/>
              </w:tabs>
              <w:spacing w:before="40" w:after="40"/>
            </w:pPr>
            <w:r>
              <w:rPr>
                <w:color w:val="000000"/>
              </w:rPr>
              <w:t>Purchased water</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25,889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26,381</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41,823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40,043</w:t>
            </w:r>
          </w:p>
        </w:tc>
        <w:tc>
          <w:tcPr>
            <w:tcW w:w="77" w:type="dxa"/>
            <w:tcMar>
              <w:left w:w="0" w:type="dxa"/>
              <w:right w:w="0" w:type="dxa"/>
            </w:tcMar>
          </w:tcPr>
          <w:p w:rsidR="00C24B4B" w:rsidRDefault="00C24B4B"/>
        </w:tc>
      </w:tr>
      <w:tr w:rsidR="00E025C9" w:rsidTr="00E025C9">
        <w:trPr>
          <w:trHeight w:hRule="exact" w:val="300"/>
        </w:trPr>
        <w:tc>
          <w:tcPr>
            <w:tcW w:w="5000" w:type="dxa"/>
            <w:tcMar>
              <w:left w:w="780" w:type="dxa"/>
              <w:right w:w="40" w:type="dxa"/>
            </w:tcMar>
            <w:vAlign w:val="bottom"/>
          </w:tcPr>
          <w:p w:rsidR="00C24B4B" w:rsidRDefault="00E025C9">
            <w:pPr>
              <w:keepNext/>
              <w:keepLines/>
              <w:tabs>
                <w:tab w:val="left" w:leader="dot" w:pos="5000"/>
              </w:tabs>
              <w:spacing w:before="40" w:after="40"/>
            </w:pPr>
            <w:r>
              <w:rPr>
                <w:color w:val="000000"/>
              </w:rPr>
              <w:t>Power</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3,426</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1,493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6,151</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2,653</w:t>
            </w:r>
          </w:p>
        </w:tc>
        <w:tc>
          <w:tcPr>
            <w:tcW w:w="77" w:type="dxa"/>
            <w:tcMar>
              <w:left w:w="0" w:type="dxa"/>
              <w:right w:w="0" w:type="dxa"/>
            </w:tcMar>
          </w:tcPr>
          <w:p w:rsidR="00C24B4B" w:rsidRDefault="00C24B4B"/>
        </w:tc>
      </w:tr>
      <w:tr w:rsidR="00E025C9" w:rsidTr="00E025C9">
        <w:trPr>
          <w:trHeight w:hRule="exact" w:val="300"/>
        </w:trPr>
        <w:tc>
          <w:tcPr>
            <w:tcW w:w="5000" w:type="dxa"/>
            <w:tcMar>
              <w:left w:w="780" w:type="dxa"/>
              <w:right w:w="40" w:type="dxa"/>
            </w:tcMar>
            <w:vAlign w:val="bottom"/>
          </w:tcPr>
          <w:p w:rsidR="00C24B4B" w:rsidRDefault="00E025C9">
            <w:pPr>
              <w:keepNext/>
              <w:keepLines/>
              <w:tabs>
                <w:tab w:val="left" w:leader="dot" w:pos="5000"/>
              </w:tabs>
              <w:spacing w:before="40" w:after="40"/>
            </w:pPr>
            <w:r>
              <w:rPr>
                <w:color w:val="000000"/>
              </w:rPr>
              <w:t>Groundwater extraction charges</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18,583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9,100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33,611</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15,963</w:t>
            </w:r>
          </w:p>
        </w:tc>
        <w:tc>
          <w:tcPr>
            <w:tcW w:w="77" w:type="dxa"/>
            <w:tcMar>
              <w:left w:w="0" w:type="dxa"/>
              <w:right w:w="0" w:type="dxa"/>
            </w:tcMar>
          </w:tcPr>
          <w:p w:rsidR="00C24B4B" w:rsidRDefault="00C24B4B"/>
        </w:tc>
      </w:tr>
      <w:tr w:rsidR="00E025C9" w:rsidTr="00E025C9">
        <w:trPr>
          <w:trHeight w:hRule="exact" w:val="300"/>
        </w:trPr>
        <w:tc>
          <w:tcPr>
            <w:tcW w:w="5000" w:type="dxa"/>
            <w:tcMar>
              <w:left w:w="780" w:type="dxa"/>
              <w:right w:w="40" w:type="dxa"/>
            </w:tcMar>
            <w:vAlign w:val="bottom"/>
          </w:tcPr>
          <w:p w:rsidR="00C24B4B" w:rsidRDefault="00E025C9">
            <w:pPr>
              <w:keepNext/>
              <w:keepLines/>
              <w:tabs>
                <w:tab w:val="left" w:leader="dot" w:pos="5000"/>
              </w:tabs>
              <w:spacing w:before="40" w:after="40"/>
            </w:pPr>
            <w:r>
              <w:rPr>
                <w:color w:val="000000"/>
              </w:rPr>
              <w:t>Other production expenses</w:t>
            </w:r>
            <w:r>
              <w:tab/>
            </w:r>
          </w:p>
        </w:tc>
        <w:tc>
          <w:tcPr>
            <w:tcW w:w="116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10,280</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5,159</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20,373</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10,258</w:t>
            </w:r>
          </w:p>
        </w:tc>
        <w:tc>
          <w:tcPr>
            <w:tcW w:w="77" w:type="dxa"/>
            <w:tcBorders>
              <w:bottom w:val="single" w:sz="8" w:space="0" w:color="auto"/>
            </w:tcBorders>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Total production expenses</w:t>
            </w:r>
            <w:r>
              <w:tab/>
            </w:r>
          </w:p>
        </w:tc>
        <w:tc>
          <w:tcPr>
            <w:tcW w:w="116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58,178</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42,133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101,958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68,917</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Administrative and general</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17,772</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13,408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39,388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25,699</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Maintenance</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5,334</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4,729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11,420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9,054</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Property taxes and other non-income taxes</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7,102</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3,848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14,565</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7,976</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Depreciation and amortization</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22,753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15,101</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44,135</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30,246</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Merger related expenses</w:t>
            </w:r>
            <w:r>
              <w:tab/>
            </w:r>
          </w:p>
        </w:tc>
        <w:tc>
          <w:tcPr>
            <w:tcW w:w="116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1,775</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4,376</w:t>
            </w:r>
          </w:p>
        </w:tc>
        <w:tc>
          <w:tcPr>
            <w:tcW w:w="77" w:type="dxa"/>
            <w:tcBorders>
              <w:bottom w:val="single" w:sz="8" w:space="0" w:color="auto"/>
            </w:tcBorders>
            <w:tcMar>
              <w:left w:w="0" w:type="dxa"/>
              <w:right w:w="0" w:type="dxa"/>
            </w:tcMar>
          </w:tcPr>
          <w:p w:rsidR="00C24B4B" w:rsidRDefault="00C24B4B"/>
        </w:tc>
      </w:tr>
      <w:tr w:rsidR="00E025C9" w:rsidTr="00E025C9">
        <w:trPr>
          <w:trHeight w:hRule="exact" w:val="300"/>
        </w:trPr>
        <w:tc>
          <w:tcPr>
            <w:tcW w:w="5000" w:type="dxa"/>
            <w:tcMar>
              <w:left w:w="1260" w:type="dxa"/>
              <w:right w:w="40" w:type="dxa"/>
            </w:tcMar>
            <w:vAlign w:val="bottom"/>
          </w:tcPr>
          <w:p w:rsidR="00C24B4B" w:rsidRDefault="00E025C9">
            <w:pPr>
              <w:keepNext/>
              <w:keepLines/>
              <w:tabs>
                <w:tab w:val="left" w:leader="dot" w:pos="5000"/>
              </w:tabs>
              <w:spacing w:before="40" w:after="40"/>
            </w:pPr>
            <w:r>
              <w:rPr>
                <w:color w:val="000000"/>
              </w:rPr>
              <w:t>Total operating expense</w:t>
            </w:r>
            <w:r>
              <w:tab/>
            </w:r>
          </w:p>
        </w:tc>
        <w:tc>
          <w:tcPr>
            <w:tcW w:w="116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111,139</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80,994</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211,466</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146,268</w:t>
            </w:r>
          </w:p>
        </w:tc>
        <w:tc>
          <w:tcPr>
            <w:tcW w:w="77" w:type="dxa"/>
            <w:tcBorders>
              <w:bottom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OPERATING INCOME</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36,070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21,971</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51,497</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34,379</w:t>
            </w:r>
          </w:p>
        </w:tc>
        <w:tc>
          <w:tcPr>
            <w:tcW w:w="77" w:type="dxa"/>
            <w:tcBorders>
              <w:top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spacing w:before="40" w:after="40"/>
            </w:pPr>
            <w:r>
              <w:rPr>
                <w:color w:val="000000"/>
              </w:rPr>
              <w:t>OTHER (EXPENSE) INCOME:</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163" w:type="dxa"/>
            <w:gridSpan w:val="2"/>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Interest expense</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(13,180</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(6,714</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(26,464</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(12,505</w:t>
            </w:r>
          </w:p>
        </w:tc>
        <w:tc>
          <w:tcPr>
            <w:tcW w:w="77" w:type="dxa"/>
            <w:tcMar>
              <w:left w:w="0" w:type="dxa"/>
              <w:right w:w="0" w:type="dxa"/>
            </w:tcMar>
            <w:vAlign w:val="bottom"/>
          </w:tcPr>
          <w:p w:rsidR="00C24B4B" w:rsidRDefault="00E025C9">
            <w:pPr>
              <w:keepNext/>
              <w:keepLines/>
              <w:spacing w:before="40" w:after="40"/>
            </w:pPr>
            <w:r>
              <w:rPr>
                <w:color w:val="000000"/>
              </w:rPr>
              <w:t>)</w:t>
            </w:r>
          </w:p>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Interest income on Money Market Fund</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2,342</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4,174</w:t>
            </w:r>
          </w:p>
        </w:tc>
        <w:tc>
          <w:tcPr>
            <w:tcW w:w="77" w:type="dxa"/>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Gain on sale of real estate investment</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745</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745</w:t>
            </w:r>
          </w:p>
        </w:tc>
        <w:tc>
          <w:tcPr>
            <w:tcW w:w="77" w:type="dxa"/>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Pension non-service cost</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(7</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(907</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(52</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(1,828</w:t>
            </w:r>
          </w:p>
        </w:tc>
        <w:tc>
          <w:tcPr>
            <w:tcW w:w="77" w:type="dxa"/>
            <w:tcMar>
              <w:left w:w="0" w:type="dxa"/>
              <w:right w:w="0" w:type="dxa"/>
            </w:tcMar>
            <w:vAlign w:val="bottom"/>
          </w:tcPr>
          <w:p w:rsidR="00C24B4B" w:rsidRDefault="00E025C9">
            <w:pPr>
              <w:keepNext/>
              <w:keepLines/>
              <w:spacing w:before="40" w:after="40"/>
            </w:pPr>
            <w:r>
              <w:rPr>
                <w:color w:val="000000"/>
              </w:rPr>
              <w:t>)</w:t>
            </w:r>
          </w:p>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Other, net</w:t>
            </w:r>
            <w:r>
              <w:tab/>
            </w:r>
          </w:p>
        </w:tc>
        <w:tc>
          <w:tcPr>
            <w:tcW w:w="116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1,048</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517</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1,805</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907</w:t>
            </w:r>
          </w:p>
        </w:tc>
        <w:tc>
          <w:tcPr>
            <w:tcW w:w="77" w:type="dxa"/>
            <w:tcBorders>
              <w:bottom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Income before income taxes</w:t>
            </w:r>
            <w:r>
              <w:tab/>
            </w:r>
          </w:p>
        </w:tc>
        <w:tc>
          <w:tcPr>
            <w:tcW w:w="116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23,931</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17,954</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26,786</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25,872</w:t>
            </w:r>
          </w:p>
        </w:tc>
        <w:tc>
          <w:tcPr>
            <w:tcW w:w="77" w:type="dxa"/>
            <w:tcBorders>
              <w:top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Provision for income taxes</w:t>
            </w:r>
            <w:r>
              <w:tab/>
            </w:r>
          </w:p>
        </w:tc>
        <w:tc>
          <w:tcPr>
            <w:tcW w:w="116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4,210</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4,192</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4,648</w:t>
            </w:r>
          </w:p>
        </w:tc>
        <w:tc>
          <w:tcPr>
            <w:tcW w:w="77"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bottom w:val="single" w:sz="8" w:space="0" w:color="auto"/>
            </w:tcBorders>
            <w:tcMar>
              <w:left w:w="0" w:type="dxa"/>
              <w:right w:w="0" w:type="dxa"/>
            </w:tcMar>
            <w:vAlign w:val="bottom"/>
          </w:tcPr>
          <w:p w:rsidR="00C24B4B" w:rsidRDefault="00E025C9">
            <w:pPr>
              <w:keepNext/>
              <w:keepLines/>
              <w:spacing w:before="40" w:after="40"/>
              <w:jc w:val="right"/>
            </w:pPr>
            <w:r>
              <w:rPr>
                <w:color w:val="000000"/>
              </w:rPr>
              <w:t>6,237</w:t>
            </w:r>
          </w:p>
        </w:tc>
        <w:tc>
          <w:tcPr>
            <w:tcW w:w="77" w:type="dxa"/>
            <w:tcBorders>
              <w:bottom w:val="single" w:sz="8" w:space="0" w:color="auto"/>
            </w:tcBorders>
            <w:tcMar>
              <w:left w:w="0" w:type="dxa"/>
              <w:right w:w="0" w:type="dxa"/>
            </w:tcMar>
          </w:tcPr>
          <w:p w:rsidR="00C24B4B" w:rsidRDefault="00C24B4B"/>
        </w:tc>
      </w:tr>
      <w:tr w:rsidR="00E025C9" w:rsidTr="00E025C9">
        <w:trPr>
          <w:trHeight w:hRule="exact" w:val="5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NET INCOME BEFORE NONCONTROLLING INTEREST</w:t>
            </w:r>
            <w:r>
              <w:tab/>
            </w:r>
          </w:p>
        </w:tc>
        <w:tc>
          <w:tcPr>
            <w:tcW w:w="116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19,721</w:t>
            </w:r>
          </w:p>
        </w:tc>
        <w:tc>
          <w:tcPr>
            <w:tcW w:w="77" w:type="dxa"/>
            <w:tcBorders>
              <w:top w:val="single" w:sz="8"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6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13,762</w:t>
            </w:r>
          </w:p>
        </w:tc>
        <w:tc>
          <w:tcPr>
            <w:tcW w:w="77" w:type="dxa"/>
            <w:tcBorders>
              <w:top w:val="single" w:sz="8"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8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22,138</w:t>
            </w:r>
          </w:p>
        </w:tc>
        <w:tc>
          <w:tcPr>
            <w:tcW w:w="77" w:type="dxa"/>
            <w:tcBorders>
              <w:top w:val="single" w:sz="8"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8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19,635</w:t>
            </w:r>
          </w:p>
        </w:tc>
        <w:tc>
          <w:tcPr>
            <w:tcW w:w="77" w:type="dxa"/>
            <w:tcBorders>
              <w:top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 xml:space="preserve">Less net income attributable to </w:t>
            </w:r>
            <w:proofErr w:type="spellStart"/>
            <w:r>
              <w:rPr>
                <w:color w:val="000000"/>
              </w:rPr>
              <w:t>noncontrolling</w:t>
            </w:r>
            <w:proofErr w:type="spellEnd"/>
            <w:r>
              <w:rPr>
                <w:color w:val="000000"/>
              </w:rPr>
              <w:t xml:space="preserve"> interest</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224</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224</w:t>
            </w:r>
          </w:p>
        </w:tc>
        <w:tc>
          <w:tcPr>
            <w:tcW w:w="77" w:type="dxa"/>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SJW GROUP NET INCOME</w:t>
            </w:r>
            <w:r>
              <w:tab/>
            </w:r>
          </w:p>
        </w:tc>
        <w:tc>
          <w:tcPr>
            <w:tcW w:w="116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19,721</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13,538</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22,138</w:t>
            </w:r>
          </w:p>
        </w:tc>
        <w:tc>
          <w:tcPr>
            <w:tcW w:w="77" w:type="dxa"/>
            <w:tcBorders>
              <w:top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Borders>
              <w:top w:val="single" w:sz="8" w:space="0" w:color="auto"/>
            </w:tcBorders>
            <w:tcMar>
              <w:left w:w="0" w:type="dxa"/>
              <w:right w:w="0" w:type="dxa"/>
            </w:tcMar>
            <w:vAlign w:val="bottom"/>
          </w:tcPr>
          <w:p w:rsidR="00C24B4B" w:rsidRDefault="00E025C9">
            <w:pPr>
              <w:keepNext/>
              <w:keepLines/>
              <w:spacing w:before="40" w:after="40"/>
              <w:jc w:val="right"/>
            </w:pPr>
            <w:r>
              <w:rPr>
                <w:color w:val="000000"/>
              </w:rPr>
              <w:t>19,411</w:t>
            </w:r>
          </w:p>
        </w:tc>
        <w:tc>
          <w:tcPr>
            <w:tcW w:w="77" w:type="dxa"/>
            <w:tcBorders>
              <w:top w:val="single" w:sz="8"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Unrealized loss on investment, net of taxes of $50</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10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(125</w:t>
            </w:r>
          </w:p>
        </w:tc>
        <w:tc>
          <w:tcPr>
            <w:tcW w:w="77" w:type="dxa"/>
            <w:tcMar>
              <w:left w:w="0" w:type="dxa"/>
              <w:right w:w="0" w:type="dxa"/>
            </w:tcMar>
            <w:vAlign w:val="bottom"/>
          </w:tcPr>
          <w:p w:rsidR="00C24B4B" w:rsidRDefault="00E025C9">
            <w:pPr>
              <w:keepNext/>
              <w:keepLines/>
              <w:spacing w:before="40" w:after="40"/>
            </w:pPr>
            <w:r>
              <w:rPr>
                <w:color w:val="000000"/>
              </w:rPr>
              <w:t>)</w:t>
            </w:r>
          </w:p>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w:t>
            </w:r>
          </w:p>
        </w:tc>
        <w:tc>
          <w:tcPr>
            <w:tcW w:w="77" w:type="dxa"/>
            <w:tcMar>
              <w:left w:w="0" w:type="dxa"/>
              <w:right w:w="0" w:type="dxa"/>
            </w:tcMar>
          </w:tcPr>
          <w:p w:rsidR="00C24B4B" w:rsidRDefault="00C24B4B"/>
        </w:tc>
      </w:tr>
      <w:tr w:rsidR="00C24B4B">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SJW GROUP COMPREHENSIVE INCOME</w:t>
            </w:r>
            <w:r>
              <w:tab/>
            </w:r>
          </w:p>
        </w:tc>
        <w:tc>
          <w:tcPr>
            <w:tcW w:w="110"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pPr>
            <w:r>
              <w:rPr>
                <w:color w:val="000000"/>
              </w:rPr>
              <w:t>$</w:t>
            </w:r>
          </w:p>
        </w:tc>
        <w:tc>
          <w:tcPr>
            <w:tcW w:w="1053"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jc w:val="right"/>
            </w:pPr>
            <w:r>
              <w:rPr>
                <w:color w:val="000000"/>
              </w:rPr>
              <w:t>19,731</w:t>
            </w:r>
          </w:p>
        </w:tc>
        <w:tc>
          <w:tcPr>
            <w:tcW w:w="77" w:type="dxa"/>
            <w:tcBorders>
              <w:top w:val="single" w:sz="8" w:space="0" w:color="auto"/>
              <w:bottom w:val="double" w:sz="4"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63"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jc w:val="right"/>
            </w:pPr>
            <w:r>
              <w:rPr>
                <w:color w:val="000000"/>
              </w:rPr>
              <w:t>13,538</w:t>
            </w:r>
          </w:p>
        </w:tc>
        <w:tc>
          <w:tcPr>
            <w:tcW w:w="77" w:type="dxa"/>
            <w:tcBorders>
              <w:top w:val="single" w:sz="8" w:space="0" w:color="auto"/>
              <w:bottom w:val="double" w:sz="4"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pPr>
            <w:r>
              <w:rPr>
                <w:color w:val="000000"/>
              </w:rPr>
              <w:t>$</w:t>
            </w:r>
          </w:p>
        </w:tc>
        <w:tc>
          <w:tcPr>
            <w:tcW w:w="1073"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jc w:val="right"/>
            </w:pPr>
            <w:r>
              <w:rPr>
                <w:color w:val="000000"/>
              </w:rPr>
              <w:t>22,013</w:t>
            </w:r>
          </w:p>
        </w:tc>
        <w:tc>
          <w:tcPr>
            <w:tcW w:w="77" w:type="dxa"/>
            <w:tcBorders>
              <w:top w:val="single" w:sz="8" w:space="0" w:color="auto"/>
              <w:bottom w:val="double" w:sz="4" w:space="0" w:color="auto"/>
            </w:tcBorders>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183" w:type="dxa"/>
            <w:tcBorders>
              <w:top w:val="single" w:sz="8" w:space="0" w:color="auto"/>
              <w:bottom w:val="double" w:sz="4" w:space="0" w:color="auto"/>
            </w:tcBorders>
            <w:tcMar>
              <w:left w:w="0" w:type="dxa"/>
              <w:right w:w="0" w:type="dxa"/>
            </w:tcMar>
            <w:vAlign w:val="bottom"/>
          </w:tcPr>
          <w:p w:rsidR="00C24B4B" w:rsidRDefault="00E025C9">
            <w:pPr>
              <w:keepNext/>
              <w:keepLines/>
              <w:spacing w:before="40" w:after="40"/>
              <w:jc w:val="right"/>
            </w:pPr>
            <w:r>
              <w:rPr>
                <w:color w:val="000000"/>
              </w:rPr>
              <w:t>19,411</w:t>
            </w:r>
          </w:p>
        </w:tc>
        <w:tc>
          <w:tcPr>
            <w:tcW w:w="77" w:type="dxa"/>
            <w:tcBorders>
              <w:top w:val="single" w:sz="8" w:space="0" w:color="auto"/>
              <w:bottom w:val="double" w:sz="4" w:space="0" w:color="auto"/>
            </w:tcBorders>
            <w:tcMar>
              <w:left w:w="0" w:type="dxa"/>
              <w:right w:w="0" w:type="dxa"/>
            </w:tcMar>
          </w:tcPr>
          <w:p w:rsidR="00C24B4B" w:rsidRDefault="00C24B4B"/>
        </w:tc>
      </w:tr>
      <w:tr w:rsidR="00E025C9" w:rsidTr="00E025C9">
        <w:trPr>
          <w:trHeight w:hRule="exact" w:val="300"/>
        </w:trPr>
        <w:tc>
          <w:tcPr>
            <w:tcW w:w="500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63" w:type="dxa"/>
            <w:gridSpan w:val="2"/>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83"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300"/>
        </w:trPr>
        <w:tc>
          <w:tcPr>
            <w:tcW w:w="5000" w:type="dxa"/>
            <w:tcMar>
              <w:left w:w="60" w:type="dxa"/>
              <w:right w:w="40" w:type="dxa"/>
            </w:tcMar>
            <w:vAlign w:val="bottom"/>
          </w:tcPr>
          <w:p w:rsidR="00C24B4B" w:rsidRDefault="00E025C9">
            <w:pPr>
              <w:keepNext/>
              <w:keepLines/>
              <w:spacing w:before="40" w:after="40"/>
            </w:pPr>
            <w:r>
              <w:rPr>
                <w:color w:val="000000"/>
              </w:rPr>
              <w:t>EARNINGS PER SHARE:</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63" w:type="dxa"/>
            <w:gridSpan w:val="2"/>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83" w:type="dxa"/>
            <w:gridSpan w:val="2"/>
            <w:tcMar>
              <w:left w:w="60" w:type="dxa"/>
              <w:right w:w="0" w:type="dxa"/>
            </w:tcMar>
            <w:vAlign w:val="bottom"/>
          </w:tcPr>
          <w:p w:rsidR="00C24B4B" w:rsidRDefault="00C24B4B">
            <w:pPr>
              <w:keepNext/>
              <w:keepLines/>
              <w:spacing w:before="40" w:after="40"/>
            </w:pPr>
          </w:p>
        </w:tc>
      </w:tr>
      <w:tr w:rsidR="00C24B4B">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Basic</w:t>
            </w:r>
            <w:r>
              <w:tab/>
            </w: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53" w:type="dxa"/>
            <w:tcMar>
              <w:left w:w="0" w:type="dxa"/>
              <w:right w:w="0" w:type="dxa"/>
            </w:tcMar>
            <w:vAlign w:val="bottom"/>
          </w:tcPr>
          <w:p w:rsidR="00C24B4B" w:rsidRDefault="00E025C9">
            <w:pPr>
              <w:keepNext/>
              <w:keepLines/>
              <w:spacing w:before="40" w:after="40"/>
              <w:jc w:val="right"/>
            </w:pPr>
            <w:r>
              <w:rPr>
                <w:color w:val="000000"/>
              </w:rPr>
              <w:t>0.69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0.48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73" w:type="dxa"/>
            <w:tcMar>
              <w:left w:w="0" w:type="dxa"/>
              <w:right w:w="0" w:type="dxa"/>
            </w:tcMar>
            <w:vAlign w:val="bottom"/>
          </w:tcPr>
          <w:p w:rsidR="00C24B4B" w:rsidRDefault="00E025C9">
            <w:pPr>
              <w:keepNext/>
              <w:keepLines/>
              <w:spacing w:before="40" w:after="40"/>
              <w:jc w:val="right"/>
            </w:pPr>
            <w:r>
              <w:rPr>
                <w:color w:val="000000"/>
              </w:rPr>
              <w:t>0.78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0.68</w:t>
            </w:r>
          </w:p>
        </w:tc>
        <w:tc>
          <w:tcPr>
            <w:tcW w:w="77" w:type="dxa"/>
            <w:tcMar>
              <w:left w:w="0" w:type="dxa"/>
              <w:right w:w="0" w:type="dxa"/>
            </w:tcMar>
          </w:tcPr>
          <w:p w:rsidR="00C24B4B" w:rsidRDefault="00C24B4B"/>
        </w:tc>
      </w:tr>
      <w:tr w:rsidR="00C24B4B">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Diluted</w:t>
            </w:r>
            <w:r>
              <w:tab/>
            </w: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53" w:type="dxa"/>
            <w:tcMar>
              <w:left w:w="0" w:type="dxa"/>
              <w:right w:w="0" w:type="dxa"/>
            </w:tcMar>
            <w:vAlign w:val="bottom"/>
          </w:tcPr>
          <w:p w:rsidR="00C24B4B" w:rsidRDefault="00E025C9">
            <w:pPr>
              <w:keepNext/>
              <w:keepLines/>
              <w:spacing w:before="40" w:after="40"/>
              <w:jc w:val="right"/>
            </w:pPr>
            <w:r>
              <w:rPr>
                <w:color w:val="000000"/>
              </w:rPr>
              <w:t>0.69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0.47</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73" w:type="dxa"/>
            <w:tcMar>
              <w:left w:w="0" w:type="dxa"/>
              <w:right w:w="0" w:type="dxa"/>
            </w:tcMar>
            <w:vAlign w:val="bottom"/>
          </w:tcPr>
          <w:p w:rsidR="00C24B4B" w:rsidRDefault="00E025C9">
            <w:pPr>
              <w:keepNext/>
              <w:keepLines/>
              <w:spacing w:before="40" w:after="40"/>
              <w:jc w:val="right"/>
            </w:pPr>
            <w:r>
              <w:rPr>
                <w:color w:val="000000"/>
              </w:rPr>
              <w:t>0.77</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0.68</w:t>
            </w:r>
          </w:p>
        </w:tc>
        <w:tc>
          <w:tcPr>
            <w:tcW w:w="77" w:type="dxa"/>
            <w:tcMar>
              <w:left w:w="0" w:type="dxa"/>
              <w:right w:w="0" w:type="dxa"/>
            </w:tcMar>
          </w:tcPr>
          <w:p w:rsidR="00C24B4B" w:rsidRDefault="00C24B4B"/>
        </w:tc>
      </w:tr>
      <w:tr w:rsidR="00C24B4B">
        <w:trPr>
          <w:trHeight w:hRule="exact" w:val="300"/>
        </w:trPr>
        <w:tc>
          <w:tcPr>
            <w:tcW w:w="5000" w:type="dxa"/>
            <w:tcMar>
              <w:left w:w="60" w:type="dxa"/>
              <w:right w:w="40" w:type="dxa"/>
            </w:tcMar>
            <w:vAlign w:val="bottom"/>
          </w:tcPr>
          <w:p w:rsidR="00C24B4B" w:rsidRDefault="00E025C9">
            <w:pPr>
              <w:keepNext/>
              <w:keepLines/>
              <w:tabs>
                <w:tab w:val="left" w:leader="dot" w:pos="5000"/>
              </w:tabs>
              <w:spacing w:before="40" w:after="40"/>
            </w:pPr>
            <w:r>
              <w:rPr>
                <w:color w:val="000000"/>
              </w:rPr>
              <w:t>DIVIDENDS PER SHARE</w:t>
            </w:r>
            <w:r>
              <w:tab/>
            </w: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53" w:type="dxa"/>
            <w:tcMar>
              <w:left w:w="0" w:type="dxa"/>
              <w:right w:w="0" w:type="dxa"/>
            </w:tcMar>
            <w:vAlign w:val="bottom"/>
          </w:tcPr>
          <w:p w:rsidR="00C24B4B" w:rsidRDefault="00E025C9">
            <w:pPr>
              <w:keepNext/>
              <w:keepLines/>
              <w:spacing w:before="40" w:after="40"/>
              <w:jc w:val="right"/>
            </w:pPr>
            <w:r>
              <w:rPr>
                <w:color w:val="000000"/>
              </w:rPr>
              <w:t>0.32</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0.30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0" w:type="dxa"/>
            <w:tcMar>
              <w:left w:w="0" w:type="dxa"/>
              <w:right w:w="0" w:type="dxa"/>
            </w:tcMar>
            <w:vAlign w:val="bottom"/>
          </w:tcPr>
          <w:p w:rsidR="00C24B4B" w:rsidRDefault="00E025C9">
            <w:pPr>
              <w:keepNext/>
              <w:keepLines/>
              <w:spacing w:before="40" w:after="40"/>
            </w:pPr>
            <w:r>
              <w:rPr>
                <w:color w:val="000000"/>
              </w:rPr>
              <w:t>$</w:t>
            </w:r>
          </w:p>
        </w:tc>
        <w:tc>
          <w:tcPr>
            <w:tcW w:w="1073" w:type="dxa"/>
            <w:tcMar>
              <w:left w:w="0" w:type="dxa"/>
              <w:right w:w="0" w:type="dxa"/>
            </w:tcMar>
            <w:vAlign w:val="bottom"/>
          </w:tcPr>
          <w:p w:rsidR="00C24B4B" w:rsidRDefault="00E025C9">
            <w:pPr>
              <w:keepNext/>
              <w:keepLines/>
              <w:spacing w:before="40" w:after="40"/>
              <w:jc w:val="right"/>
            </w:pPr>
            <w:r>
              <w:rPr>
                <w:color w:val="000000"/>
              </w:rPr>
              <w:t>0.64</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0.60</w:t>
            </w:r>
          </w:p>
        </w:tc>
        <w:tc>
          <w:tcPr>
            <w:tcW w:w="77" w:type="dxa"/>
            <w:tcMar>
              <w:left w:w="0" w:type="dxa"/>
              <w:right w:w="0" w:type="dxa"/>
            </w:tcMar>
          </w:tcPr>
          <w:p w:rsidR="00C24B4B" w:rsidRDefault="00C24B4B"/>
        </w:tc>
      </w:tr>
      <w:tr w:rsidR="00E025C9" w:rsidTr="00E025C9">
        <w:trPr>
          <w:trHeight w:hRule="exact" w:val="300"/>
        </w:trPr>
        <w:tc>
          <w:tcPr>
            <w:tcW w:w="5000" w:type="dxa"/>
            <w:tcMar>
              <w:left w:w="60" w:type="dxa"/>
              <w:right w:w="40" w:type="dxa"/>
            </w:tcMar>
            <w:vAlign w:val="bottom"/>
          </w:tcPr>
          <w:p w:rsidR="00C24B4B" w:rsidRDefault="00E025C9">
            <w:pPr>
              <w:keepNext/>
              <w:keepLines/>
              <w:spacing w:before="40" w:after="40"/>
            </w:pPr>
            <w:r>
              <w:rPr>
                <w:color w:val="000000"/>
              </w:rPr>
              <w:t>WEIGHTED AVERAGE SHARES OUTSTANDING:</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63" w:type="dxa"/>
            <w:gridSpan w:val="2"/>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183"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300"/>
        </w:trPr>
        <w:tc>
          <w:tcPr>
            <w:tcW w:w="5000" w:type="dxa"/>
            <w:tcMar>
              <w:left w:w="420" w:type="dxa"/>
              <w:right w:w="40" w:type="dxa"/>
            </w:tcMar>
            <w:vAlign w:val="bottom"/>
          </w:tcPr>
          <w:p w:rsidR="00C24B4B" w:rsidRDefault="00E025C9">
            <w:pPr>
              <w:keepNext/>
              <w:keepLines/>
              <w:tabs>
                <w:tab w:val="left" w:leader="dot" w:pos="5000"/>
              </w:tabs>
              <w:spacing w:before="40" w:after="40"/>
            </w:pPr>
            <w:r>
              <w:rPr>
                <w:color w:val="000000"/>
              </w:rPr>
              <w:t>Basic</w:t>
            </w:r>
            <w:r>
              <w:tab/>
            </w:r>
          </w:p>
        </w:tc>
        <w:tc>
          <w:tcPr>
            <w:tcW w:w="1163" w:type="dxa"/>
            <w:gridSpan w:val="2"/>
            <w:tcMar>
              <w:left w:w="0" w:type="dxa"/>
              <w:right w:w="0" w:type="dxa"/>
            </w:tcMar>
            <w:vAlign w:val="bottom"/>
          </w:tcPr>
          <w:p w:rsidR="00C24B4B" w:rsidRDefault="00E025C9">
            <w:pPr>
              <w:keepNext/>
              <w:keepLines/>
              <w:spacing w:before="40" w:after="40"/>
              <w:jc w:val="right"/>
            </w:pPr>
            <w:r>
              <w:rPr>
                <w:color w:val="000000"/>
              </w:rPr>
              <w:t>28,508</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63" w:type="dxa"/>
            <w:tcMar>
              <w:left w:w="0" w:type="dxa"/>
              <w:right w:w="0" w:type="dxa"/>
            </w:tcMar>
            <w:vAlign w:val="bottom"/>
          </w:tcPr>
          <w:p w:rsidR="00C24B4B" w:rsidRDefault="00E025C9">
            <w:pPr>
              <w:keepNext/>
              <w:keepLines/>
              <w:spacing w:before="40" w:after="40"/>
              <w:jc w:val="right"/>
            </w:pPr>
            <w:r>
              <w:rPr>
                <w:color w:val="000000"/>
              </w:rPr>
              <w:t>28,440</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gridSpan w:val="2"/>
            <w:tcMar>
              <w:left w:w="0" w:type="dxa"/>
              <w:right w:w="0" w:type="dxa"/>
            </w:tcMar>
            <w:vAlign w:val="bottom"/>
          </w:tcPr>
          <w:p w:rsidR="00C24B4B" w:rsidRDefault="00E025C9">
            <w:pPr>
              <w:keepNext/>
              <w:keepLines/>
              <w:spacing w:before="40" w:after="40"/>
              <w:jc w:val="right"/>
            </w:pPr>
            <w:r>
              <w:rPr>
                <w:color w:val="000000"/>
              </w:rPr>
              <w:t>28,499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183" w:type="dxa"/>
            <w:tcMar>
              <w:left w:w="0" w:type="dxa"/>
              <w:right w:w="0" w:type="dxa"/>
            </w:tcMar>
            <w:vAlign w:val="bottom"/>
          </w:tcPr>
          <w:p w:rsidR="00C24B4B" w:rsidRDefault="00E025C9">
            <w:pPr>
              <w:keepNext/>
              <w:keepLines/>
              <w:spacing w:before="40" w:after="40"/>
              <w:jc w:val="right"/>
            </w:pPr>
            <w:r>
              <w:rPr>
                <w:color w:val="000000"/>
              </w:rPr>
              <w:t>28,432</w:t>
            </w:r>
          </w:p>
        </w:tc>
        <w:tc>
          <w:tcPr>
            <w:tcW w:w="77" w:type="dxa"/>
            <w:tcMar>
              <w:left w:w="0" w:type="dxa"/>
              <w:right w:w="0" w:type="dxa"/>
            </w:tcMar>
          </w:tcPr>
          <w:p w:rsidR="00C24B4B" w:rsidRDefault="00C24B4B"/>
        </w:tc>
      </w:tr>
      <w:tr w:rsidR="00E025C9" w:rsidTr="00E025C9">
        <w:trPr>
          <w:trHeight w:hRule="exact" w:val="300"/>
        </w:trPr>
        <w:tc>
          <w:tcPr>
            <w:tcW w:w="5000" w:type="dxa"/>
            <w:tcMar>
              <w:left w:w="420" w:type="dxa"/>
              <w:right w:w="40" w:type="dxa"/>
            </w:tcMar>
            <w:vAlign w:val="bottom"/>
          </w:tcPr>
          <w:p w:rsidR="00C24B4B" w:rsidRDefault="00E025C9">
            <w:pPr>
              <w:keepLines/>
              <w:tabs>
                <w:tab w:val="left" w:leader="dot" w:pos="5000"/>
              </w:tabs>
              <w:spacing w:before="40" w:after="40"/>
            </w:pPr>
            <w:r>
              <w:rPr>
                <w:color w:val="000000"/>
              </w:rPr>
              <w:t>Diluted</w:t>
            </w:r>
            <w:r>
              <w:tab/>
            </w:r>
          </w:p>
        </w:tc>
        <w:tc>
          <w:tcPr>
            <w:tcW w:w="1163" w:type="dxa"/>
            <w:gridSpan w:val="2"/>
            <w:tcMar>
              <w:left w:w="0" w:type="dxa"/>
              <w:right w:w="0" w:type="dxa"/>
            </w:tcMar>
            <w:vAlign w:val="bottom"/>
          </w:tcPr>
          <w:p w:rsidR="00C24B4B" w:rsidRDefault="00E025C9">
            <w:pPr>
              <w:keepLines/>
              <w:spacing w:before="40" w:after="40"/>
              <w:jc w:val="right"/>
            </w:pPr>
            <w:r>
              <w:rPr>
                <w:color w:val="000000"/>
              </w:rPr>
              <w:t>28,683</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Lines/>
              <w:spacing w:before="40" w:after="40"/>
            </w:pPr>
          </w:p>
        </w:tc>
        <w:tc>
          <w:tcPr>
            <w:tcW w:w="1163" w:type="dxa"/>
            <w:tcMar>
              <w:left w:w="0" w:type="dxa"/>
              <w:right w:w="0" w:type="dxa"/>
            </w:tcMar>
            <w:vAlign w:val="bottom"/>
          </w:tcPr>
          <w:p w:rsidR="00C24B4B" w:rsidRDefault="00E025C9">
            <w:pPr>
              <w:keepLines/>
              <w:spacing w:before="40" w:after="40"/>
              <w:jc w:val="right"/>
            </w:pPr>
            <w:r>
              <w:rPr>
                <w:color w:val="000000"/>
              </w:rPr>
              <w:t>28,526</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Lines/>
              <w:spacing w:before="40" w:after="40"/>
            </w:pPr>
          </w:p>
        </w:tc>
        <w:tc>
          <w:tcPr>
            <w:tcW w:w="1183" w:type="dxa"/>
            <w:gridSpan w:val="2"/>
            <w:tcMar>
              <w:left w:w="0" w:type="dxa"/>
              <w:right w:w="0" w:type="dxa"/>
            </w:tcMar>
            <w:vAlign w:val="bottom"/>
          </w:tcPr>
          <w:p w:rsidR="00C24B4B" w:rsidRDefault="00E025C9">
            <w:pPr>
              <w:keepLines/>
              <w:spacing w:before="40" w:after="40"/>
              <w:jc w:val="right"/>
            </w:pPr>
            <w:r>
              <w:rPr>
                <w:color w:val="000000"/>
              </w:rPr>
              <w:t>28,679</w:t>
            </w:r>
          </w:p>
        </w:tc>
        <w:tc>
          <w:tcPr>
            <w:tcW w:w="77" w:type="dxa"/>
            <w:tcMar>
              <w:left w:w="0" w:type="dxa"/>
              <w:right w:w="0" w:type="dxa"/>
            </w:tcMar>
          </w:tcPr>
          <w:p w:rsidR="00C24B4B" w:rsidRDefault="00C24B4B"/>
        </w:tc>
        <w:tc>
          <w:tcPr>
            <w:tcW w:w="80" w:type="dxa"/>
            <w:tcMar>
              <w:left w:w="0" w:type="dxa"/>
              <w:right w:w="60" w:type="dxa"/>
            </w:tcMar>
            <w:vAlign w:val="bottom"/>
          </w:tcPr>
          <w:p w:rsidR="00C24B4B" w:rsidRDefault="00C24B4B">
            <w:pPr>
              <w:keepLines/>
              <w:spacing w:before="40" w:after="40"/>
            </w:pPr>
          </w:p>
        </w:tc>
        <w:tc>
          <w:tcPr>
            <w:tcW w:w="1183" w:type="dxa"/>
            <w:tcMar>
              <w:left w:w="0" w:type="dxa"/>
              <w:right w:w="0" w:type="dxa"/>
            </w:tcMar>
            <w:vAlign w:val="bottom"/>
          </w:tcPr>
          <w:p w:rsidR="00C24B4B" w:rsidRDefault="00E025C9">
            <w:pPr>
              <w:keepLines/>
              <w:spacing w:before="40" w:after="40"/>
              <w:jc w:val="right"/>
            </w:pPr>
            <w:r>
              <w:rPr>
                <w:color w:val="000000"/>
              </w:rPr>
              <w:t>28,517</w:t>
            </w:r>
          </w:p>
        </w:tc>
        <w:tc>
          <w:tcPr>
            <w:tcW w:w="77" w:type="dxa"/>
            <w:tcMar>
              <w:left w:w="0" w:type="dxa"/>
              <w:right w:w="0" w:type="dxa"/>
            </w:tcMar>
          </w:tcPr>
          <w:p w:rsidR="00C24B4B" w:rsidRDefault="00C24B4B"/>
        </w:tc>
      </w:tr>
    </w:tbl>
    <w:p w:rsidR="00C24B4B" w:rsidRDefault="00C24B4B">
      <w:pPr>
        <w:spacing w:before="240" w:line="288" w:lineRule="auto"/>
        <w:jc w:val="center"/>
      </w:pPr>
    </w:p>
    <w:p w:rsidR="00C24B4B" w:rsidRDefault="00E025C9">
      <w:pPr>
        <w:pageBreakBefore/>
        <w:spacing w:line="288" w:lineRule="auto"/>
        <w:jc w:val="center"/>
      </w:pPr>
      <w:r>
        <w:lastRenderedPageBreak/>
        <w:t>SJW Group</w:t>
      </w:r>
    </w:p>
    <w:p w:rsidR="00C24B4B" w:rsidRDefault="00E025C9">
      <w:pPr>
        <w:spacing w:line="288" w:lineRule="auto"/>
        <w:jc w:val="center"/>
      </w:pPr>
      <w:r>
        <w:t>Condensed Consolidated Balance Sheets</w:t>
      </w:r>
    </w:p>
    <w:p w:rsidR="00C24B4B" w:rsidRDefault="00E025C9">
      <w:pPr>
        <w:spacing w:line="288" w:lineRule="auto"/>
        <w:jc w:val="center"/>
      </w:pPr>
      <w:r>
        <w:t>(Unaudited)</w:t>
      </w:r>
    </w:p>
    <w:p w:rsidR="00C24B4B" w:rsidRDefault="00E025C9">
      <w:pPr>
        <w:spacing w:line="288" w:lineRule="auto"/>
        <w:jc w:val="center"/>
      </w:pPr>
      <w:r>
        <w:t>(in thousands)</w:t>
      </w:r>
    </w:p>
    <w:p w:rsidR="00C24B4B" w:rsidRDefault="00C24B4B">
      <w:pPr>
        <w:spacing w:after="140"/>
        <w:jc w:val="center"/>
      </w:pPr>
    </w:p>
    <w:tbl>
      <w:tblPr>
        <w:tblW w:w="10240" w:type="dxa"/>
        <w:tblInd w:w="420" w:type="dxa"/>
        <w:tblLayout w:type="fixed"/>
        <w:tblCellMar>
          <w:left w:w="10" w:type="dxa"/>
          <w:right w:w="10" w:type="dxa"/>
        </w:tblCellMar>
        <w:tblLook w:val="0000" w:firstRow="0" w:lastRow="0" w:firstColumn="0" w:lastColumn="0" w:noHBand="0" w:noVBand="0"/>
      </w:tblPr>
      <w:tblGrid>
        <w:gridCol w:w="7020"/>
        <w:gridCol w:w="100"/>
        <w:gridCol w:w="1390"/>
        <w:gridCol w:w="70"/>
        <w:gridCol w:w="80"/>
        <w:gridCol w:w="1510"/>
        <w:gridCol w:w="70"/>
      </w:tblGrid>
      <w:tr w:rsidR="00E025C9" w:rsidTr="00E025C9">
        <w:trPr>
          <w:trHeight w:hRule="exact" w:val="460"/>
        </w:trPr>
        <w:tc>
          <w:tcPr>
            <w:tcW w:w="7020" w:type="dxa"/>
            <w:tcMar>
              <w:left w:w="420" w:type="dxa"/>
              <w:right w:w="0" w:type="dxa"/>
            </w:tcMar>
            <w:vAlign w:val="bottom"/>
          </w:tcPr>
          <w:p w:rsidR="00C24B4B" w:rsidRDefault="00C24B4B">
            <w:pPr>
              <w:keepNext/>
              <w:keepLines/>
              <w:spacing w:before="40" w:after="40"/>
            </w:pPr>
          </w:p>
        </w:tc>
        <w:tc>
          <w:tcPr>
            <w:tcW w:w="0" w:type="dxa"/>
            <w:gridSpan w:val="3"/>
            <w:tcBorders>
              <w:bottom w:val="single" w:sz="8" w:space="0" w:color="auto"/>
            </w:tcBorders>
            <w:tcMar>
              <w:left w:w="60" w:type="dxa"/>
              <w:right w:w="60" w:type="dxa"/>
            </w:tcMar>
            <w:vAlign w:val="bottom"/>
          </w:tcPr>
          <w:p w:rsidR="00C24B4B" w:rsidRDefault="00E025C9">
            <w:pPr>
              <w:keepNext/>
              <w:keepLines/>
              <w:spacing w:before="40" w:after="40"/>
              <w:jc w:val="center"/>
              <w:rPr>
                <w:b/>
                <w:sz w:val="18"/>
              </w:rPr>
            </w:pPr>
            <w:r>
              <w:rPr>
                <w:b/>
                <w:color w:val="000000"/>
                <w:sz w:val="18"/>
              </w:rPr>
              <w:t>June 30,</w:t>
            </w:r>
            <w:r>
              <w:rPr>
                <w:b/>
                <w:color w:val="000000"/>
                <w:sz w:val="18"/>
              </w:rPr>
              <w:br/>
              <w:t xml:space="preserve"> 2020</w:t>
            </w:r>
          </w:p>
        </w:tc>
        <w:tc>
          <w:tcPr>
            <w:tcW w:w="80" w:type="dxa"/>
            <w:tcMar>
              <w:left w:w="60" w:type="dxa"/>
              <w:right w:w="0" w:type="dxa"/>
            </w:tcMar>
            <w:vAlign w:val="bottom"/>
          </w:tcPr>
          <w:p w:rsidR="00C24B4B" w:rsidRDefault="00C24B4B">
            <w:pPr>
              <w:keepNext/>
              <w:keepLines/>
              <w:spacing w:before="40" w:after="40"/>
            </w:pPr>
          </w:p>
        </w:tc>
        <w:tc>
          <w:tcPr>
            <w:tcW w:w="1510" w:type="dxa"/>
            <w:gridSpan w:val="2"/>
            <w:tcBorders>
              <w:bottom w:val="single" w:sz="8" w:space="0" w:color="auto"/>
            </w:tcBorders>
            <w:tcMar>
              <w:left w:w="60" w:type="dxa"/>
              <w:right w:w="60" w:type="dxa"/>
            </w:tcMar>
            <w:vAlign w:val="bottom"/>
          </w:tcPr>
          <w:p w:rsidR="00C24B4B" w:rsidRDefault="00E025C9">
            <w:pPr>
              <w:keepNext/>
              <w:keepLines/>
              <w:spacing w:before="40" w:after="40"/>
              <w:jc w:val="center"/>
              <w:rPr>
                <w:b/>
                <w:sz w:val="18"/>
              </w:rPr>
            </w:pPr>
            <w:r>
              <w:rPr>
                <w:b/>
                <w:color w:val="000000"/>
                <w:sz w:val="18"/>
              </w:rPr>
              <w:t>December 31,</w:t>
            </w:r>
            <w:r>
              <w:rPr>
                <w:b/>
                <w:color w:val="000000"/>
                <w:sz w:val="18"/>
              </w:rPr>
              <w:br/>
              <w:t xml:space="preserve"> 2019</w:t>
            </w:r>
          </w:p>
        </w:tc>
      </w:tr>
      <w:tr w:rsidR="00E025C9" w:rsidTr="00E025C9">
        <w:trPr>
          <w:trHeight w:hRule="exact" w:val="280"/>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ASSETS</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510"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280"/>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 xml:space="preserve">   Utility plant:</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510" w:type="dxa"/>
            <w:gridSpan w:val="2"/>
            <w:tcMar>
              <w:left w:w="60" w:type="dxa"/>
              <w:right w:w="0" w:type="dxa"/>
            </w:tcMar>
            <w:vAlign w:val="bottom"/>
          </w:tcPr>
          <w:p w:rsidR="00C24B4B" w:rsidRDefault="00C24B4B">
            <w:pPr>
              <w:keepNext/>
              <w:keepLines/>
              <w:spacing w:before="40" w:after="40"/>
            </w:pPr>
          </w:p>
        </w:tc>
      </w:tr>
      <w:tr w:rsidR="00C24B4B">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Land</w:t>
            </w:r>
            <w:r>
              <w:tab/>
            </w:r>
          </w:p>
        </w:tc>
        <w:tc>
          <w:tcPr>
            <w:tcW w:w="100" w:type="dxa"/>
            <w:tcMar>
              <w:left w:w="0" w:type="dxa"/>
              <w:right w:w="0" w:type="dxa"/>
            </w:tcMar>
            <w:vAlign w:val="bottom"/>
          </w:tcPr>
          <w:p w:rsidR="00C24B4B" w:rsidRDefault="00E025C9">
            <w:pPr>
              <w:keepNext/>
              <w:keepLines/>
              <w:spacing w:before="40" w:after="40"/>
              <w:rPr>
                <w:sz w:val="18"/>
              </w:rPr>
            </w:pPr>
            <w:r>
              <w:rPr>
                <w:color w:val="000000"/>
                <w:sz w:val="18"/>
              </w:rPr>
              <w:t>$</w:t>
            </w:r>
          </w:p>
        </w:tc>
        <w:tc>
          <w:tcPr>
            <w:tcW w:w="1390" w:type="dxa"/>
            <w:tcMar>
              <w:left w:w="0" w:type="dxa"/>
              <w:right w:w="0" w:type="dxa"/>
            </w:tcMar>
            <w:vAlign w:val="bottom"/>
          </w:tcPr>
          <w:p w:rsidR="00C24B4B" w:rsidRDefault="00E025C9">
            <w:pPr>
              <w:keepNext/>
              <w:keepLines/>
              <w:spacing w:before="40" w:after="40"/>
              <w:jc w:val="right"/>
              <w:rPr>
                <w:sz w:val="18"/>
              </w:rPr>
            </w:pPr>
            <w:r>
              <w:rPr>
                <w:color w:val="000000"/>
                <w:sz w:val="18"/>
              </w:rPr>
              <w:t>34,929</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34,395</w:t>
            </w:r>
          </w:p>
        </w:tc>
        <w:tc>
          <w:tcPr>
            <w:tcW w:w="70" w:type="dxa"/>
            <w:tcMar>
              <w:left w:w="0" w:type="dxa"/>
              <w:right w:w="0" w:type="dxa"/>
            </w:tcMar>
          </w:tcPr>
          <w:p w:rsidR="00C24B4B" w:rsidRDefault="00C24B4B"/>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Depreciable plant and equipment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3,031,451</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2,988,454</w:t>
            </w:r>
          </w:p>
        </w:tc>
        <w:tc>
          <w:tcPr>
            <w:tcW w:w="70" w:type="dxa"/>
            <w:tcMar>
              <w:left w:w="0" w:type="dxa"/>
              <w:right w:w="0" w:type="dxa"/>
            </w:tcMar>
          </w:tcPr>
          <w:p w:rsidR="00C24B4B" w:rsidRDefault="00C24B4B"/>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Construction in progress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144,429</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112,232</w:t>
            </w:r>
          </w:p>
        </w:tc>
        <w:tc>
          <w:tcPr>
            <w:tcW w:w="70" w:type="dxa"/>
            <w:tcMar>
              <w:left w:w="0" w:type="dxa"/>
              <w:right w:w="0" w:type="dxa"/>
            </w:tcMar>
          </w:tcPr>
          <w:p w:rsidR="00C24B4B" w:rsidRDefault="00C24B4B"/>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Intangible assets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32,826</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33,424</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Total utility plant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3,243,635</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3,168,505</w:t>
            </w:r>
          </w:p>
        </w:tc>
        <w:tc>
          <w:tcPr>
            <w:tcW w:w="70" w:type="dxa"/>
            <w:tcMar>
              <w:left w:w="0" w:type="dxa"/>
              <w:right w:w="0" w:type="dxa"/>
            </w:tcMar>
          </w:tcPr>
          <w:p w:rsidR="00C24B4B" w:rsidRDefault="00C24B4B"/>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Less accumulated depreciation and amortization</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1,004,776</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962,019</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Net utility plant</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2,238,859</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2,206,486</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0" w:type="dxa"/>
              <w:right w:w="0" w:type="dxa"/>
            </w:tcMar>
            <w:vAlign w:val="bottom"/>
          </w:tcPr>
          <w:p w:rsidR="00C24B4B" w:rsidRDefault="00C24B4B">
            <w:pPr>
              <w:keepNext/>
              <w:keepLines/>
              <w:spacing w:before="40" w:after="40"/>
            </w:pP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Real estate investments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58,023</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57,699</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Less accumulated depreciation and amortization</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14,197</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13,597</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Net real estate investments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43,826</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44,102</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CURRENT ASSETS:</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510"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280"/>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 xml:space="preserve">   Cash and cash equivalents:</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Cash</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23,317</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12,944</w:t>
            </w:r>
          </w:p>
        </w:tc>
        <w:tc>
          <w:tcPr>
            <w:tcW w:w="70" w:type="dxa"/>
            <w:tcMar>
              <w:left w:w="0" w:type="dxa"/>
              <w:right w:w="0" w:type="dxa"/>
            </w:tcMar>
          </w:tcPr>
          <w:p w:rsidR="00C24B4B" w:rsidRDefault="00C24B4B"/>
        </w:tc>
      </w:tr>
      <w:tr w:rsidR="00E025C9" w:rsidTr="00E025C9">
        <w:trPr>
          <w:trHeight w:hRule="exact" w:val="280"/>
        </w:trPr>
        <w:tc>
          <w:tcPr>
            <w:tcW w:w="7020" w:type="dxa"/>
            <w:tcMar>
              <w:left w:w="420" w:type="dxa"/>
              <w:right w:w="40" w:type="dxa"/>
            </w:tcMar>
            <w:vAlign w:val="bottom"/>
          </w:tcPr>
          <w:p w:rsidR="00C24B4B" w:rsidRDefault="00E025C9">
            <w:pPr>
              <w:keepNext/>
              <w:keepLines/>
              <w:tabs>
                <w:tab w:val="left" w:leader="dot" w:pos="7020"/>
              </w:tabs>
              <w:spacing w:before="40" w:after="40"/>
              <w:rPr>
                <w:sz w:val="18"/>
              </w:rPr>
            </w:pPr>
            <w:r>
              <w:rPr>
                <w:color w:val="000000"/>
                <w:sz w:val="18"/>
              </w:rPr>
              <w:t>Restricted cash</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w:t>
            </w:r>
          </w:p>
        </w:tc>
        <w:tc>
          <w:tcPr>
            <w:tcW w:w="70" w:type="dxa"/>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5,000</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Accounts receivable and accrued unbilled utility revenue</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105,104</w:t>
            </w:r>
          </w:p>
        </w:tc>
        <w:tc>
          <w:tcPr>
            <w:tcW w:w="70" w:type="dxa"/>
            <w:tcMar>
              <w:left w:w="0" w:type="dxa"/>
              <w:right w:w="0" w:type="dxa"/>
            </w:tcMar>
          </w:tcPr>
          <w:p w:rsidR="00C24B4B" w:rsidRDefault="00C24B4B"/>
        </w:tc>
        <w:tc>
          <w:tcPr>
            <w:tcW w:w="80" w:type="dxa"/>
            <w:tcMar>
              <w:left w:w="60" w:type="dxa"/>
              <w:right w:w="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88,077</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Current regulatory assets, net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5,691</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6,472</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Other current assets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11,431</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9,553</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Total current assets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145,543</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122,046</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OTHER ASSETS:</w:t>
            </w:r>
          </w:p>
        </w:tc>
        <w:tc>
          <w:tcPr>
            <w:tcW w:w="0" w:type="dxa"/>
            <w:gridSpan w:val="3"/>
            <w:tcMar>
              <w:left w:w="60" w:type="dxa"/>
              <w:right w:w="0" w:type="dxa"/>
            </w:tcMar>
            <w:vAlign w:val="bottom"/>
          </w:tcPr>
          <w:p w:rsidR="00C24B4B" w:rsidRDefault="00C24B4B">
            <w:pPr>
              <w:keepNext/>
              <w:keepLines/>
              <w:spacing w:before="40" w:after="40"/>
            </w:pPr>
          </w:p>
        </w:tc>
        <w:tc>
          <w:tcPr>
            <w:tcW w:w="80" w:type="dxa"/>
            <w:tcMar>
              <w:left w:w="60" w:type="dxa"/>
              <w:right w:w="0" w:type="dxa"/>
            </w:tcMar>
            <w:vAlign w:val="bottom"/>
          </w:tcPr>
          <w:p w:rsidR="00C24B4B" w:rsidRDefault="00C24B4B">
            <w:pPr>
              <w:keepNext/>
              <w:keepLines/>
              <w:spacing w:before="40" w:after="40"/>
            </w:pPr>
          </w:p>
        </w:tc>
        <w:tc>
          <w:tcPr>
            <w:tcW w:w="1510" w:type="dxa"/>
            <w:gridSpan w:val="2"/>
            <w:tcMar>
              <w:left w:w="60" w:type="dxa"/>
              <w:right w:w="0" w:type="dxa"/>
            </w:tcMar>
            <w:vAlign w:val="bottom"/>
          </w:tcPr>
          <w:p w:rsidR="00C24B4B" w:rsidRDefault="00C24B4B">
            <w:pPr>
              <w:keepNext/>
              <w:keepLines/>
              <w:spacing w:before="40" w:after="40"/>
            </w:pPr>
          </w:p>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Regulatory assets, net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132,539</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113,945</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Investments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13,493</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12,928</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Goodwill</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628,343</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628,287</w:t>
            </w:r>
          </w:p>
        </w:tc>
        <w:tc>
          <w:tcPr>
            <w:tcW w:w="70" w:type="dxa"/>
            <w:tcMar>
              <w:left w:w="0" w:type="dxa"/>
              <w:right w:w="0" w:type="dxa"/>
            </w:tcMar>
          </w:tcPr>
          <w:p w:rsidR="00C24B4B" w:rsidRDefault="00C24B4B"/>
        </w:tc>
      </w:tr>
      <w:tr w:rsidR="00E025C9" w:rsidTr="00E025C9">
        <w:trPr>
          <w:trHeight w:hRule="exact" w:val="280"/>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Other</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7,374</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4,676</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trPr>
        <w:tc>
          <w:tcPr>
            <w:tcW w:w="7020" w:type="dxa"/>
            <w:tcMar>
              <w:left w:w="60" w:type="dxa"/>
              <w:right w:w="0" w:type="dxa"/>
            </w:tcMar>
            <w:vAlign w:val="bottom"/>
          </w:tcPr>
          <w:p w:rsidR="00C24B4B" w:rsidRDefault="00C24B4B">
            <w:pPr>
              <w:keepNext/>
              <w:keepLines/>
              <w:spacing w:before="40" w:after="40"/>
            </w:pP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781,749</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759,836</w:t>
            </w:r>
          </w:p>
        </w:tc>
        <w:tc>
          <w:tcPr>
            <w:tcW w:w="70" w:type="dxa"/>
            <w:tcBorders>
              <w:bottom w:val="single" w:sz="8" w:space="0" w:color="auto"/>
            </w:tcBorders>
            <w:tcMar>
              <w:left w:w="0" w:type="dxa"/>
              <w:right w:w="0" w:type="dxa"/>
            </w:tcMar>
          </w:tcPr>
          <w:p w:rsidR="00C24B4B" w:rsidRDefault="00C24B4B"/>
        </w:tc>
      </w:tr>
      <w:tr w:rsidR="00C24B4B">
        <w:trPr>
          <w:trHeight w:hRule="exact" w:val="280"/>
        </w:trPr>
        <w:tc>
          <w:tcPr>
            <w:tcW w:w="7020" w:type="dxa"/>
            <w:tcMar>
              <w:left w:w="60" w:type="dxa"/>
              <w:right w:w="0" w:type="dxa"/>
            </w:tcMar>
            <w:vAlign w:val="bottom"/>
          </w:tcPr>
          <w:p w:rsidR="00C24B4B" w:rsidRDefault="00C24B4B">
            <w:pPr>
              <w:keepLines/>
              <w:spacing w:before="40" w:after="40"/>
            </w:pPr>
          </w:p>
        </w:tc>
        <w:tc>
          <w:tcPr>
            <w:tcW w:w="100" w:type="dxa"/>
            <w:tcBorders>
              <w:bottom w:val="double" w:sz="4" w:space="0" w:color="auto"/>
            </w:tcBorders>
            <w:tcMar>
              <w:left w:w="0" w:type="dxa"/>
              <w:right w:w="0" w:type="dxa"/>
            </w:tcMar>
            <w:vAlign w:val="bottom"/>
          </w:tcPr>
          <w:p w:rsidR="00C24B4B" w:rsidRDefault="00E025C9">
            <w:pPr>
              <w:keepLines/>
              <w:spacing w:before="40" w:after="40"/>
              <w:rPr>
                <w:sz w:val="18"/>
              </w:rPr>
            </w:pPr>
            <w:r>
              <w:rPr>
                <w:color w:val="000000"/>
                <w:sz w:val="18"/>
              </w:rPr>
              <w:t>$</w:t>
            </w:r>
          </w:p>
        </w:tc>
        <w:tc>
          <w:tcPr>
            <w:tcW w:w="1390" w:type="dxa"/>
            <w:tcBorders>
              <w:bottom w:val="double" w:sz="4" w:space="0" w:color="auto"/>
            </w:tcBorders>
            <w:tcMar>
              <w:left w:w="0" w:type="dxa"/>
              <w:right w:w="0" w:type="dxa"/>
            </w:tcMar>
            <w:vAlign w:val="bottom"/>
          </w:tcPr>
          <w:p w:rsidR="00C24B4B" w:rsidRDefault="00E025C9">
            <w:pPr>
              <w:keepLines/>
              <w:spacing w:before="40" w:after="40"/>
              <w:jc w:val="right"/>
              <w:rPr>
                <w:sz w:val="18"/>
              </w:rPr>
            </w:pPr>
            <w:r>
              <w:rPr>
                <w:color w:val="000000"/>
                <w:sz w:val="18"/>
              </w:rPr>
              <w:t>3,209,977</w:t>
            </w:r>
          </w:p>
        </w:tc>
        <w:tc>
          <w:tcPr>
            <w:tcW w:w="70" w:type="dxa"/>
            <w:tcBorders>
              <w:bottom w:val="double" w:sz="4"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Lines/>
              <w:spacing w:before="40" w:after="40"/>
            </w:pPr>
          </w:p>
        </w:tc>
        <w:tc>
          <w:tcPr>
            <w:tcW w:w="1510" w:type="dxa"/>
            <w:tcBorders>
              <w:bottom w:val="double" w:sz="4" w:space="0" w:color="auto"/>
            </w:tcBorders>
            <w:tcMar>
              <w:left w:w="0" w:type="dxa"/>
              <w:right w:w="0" w:type="dxa"/>
            </w:tcMar>
            <w:vAlign w:val="bottom"/>
          </w:tcPr>
          <w:p w:rsidR="00C24B4B" w:rsidRDefault="00E025C9">
            <w:pPr>
              <w:keepLines/>
              <w:spacing w:before="40" w:after="40"/>
              <w:jc w:val="right"/>
              <w:rPr>
                <w:sz w:val="18"/>
              </w:rPr>
            </w:pPr>
            <w:r>
              <w:rPr>
                <w:color w:val="000000"/>
                <w:sz w:val="18"/>
              </w:rPr>
              <w:t>3,132,470</w:t>
            </w:r>
          </w:p>
        </w:tc>
        <w:tc>
          <w:tcPr>
            <w:tcW w:w="70" w:type="dxa"/>
            <w:tcBorders>
              <w:bottom w:val="double" w:sz="4" w:space="0" w:color="auto"/>
            </w:tcBorders>
            <w:tcMar>
              <w:left w:w="0" w:type="dxa"/>
              <w:right w:w="0" w:type="dxa"/>
            </w:tcMar>
          </w:tcPr>
          <w:p w:rsidR="00C24B4B" w:rsidRDefault="00C24B4B"/>
        </w:tc>
      </w:tr>
    </w:tbl>
    <w:p w:rsidR="00C24B4B" w:rsidRDefault="00C24B4B">
      <w:pPr>
        <w:spacing w:before="60"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C24B4B">
      <w:pPr>
        <w:spacing w:line="288" w:lineRule="auto"/>
        <w:jc w:val="center"/>
      </w:pPr>
    </w:p>
    <w:p w:rsidR="00C24B4B" w:rsidRDefault="00E025C9">
      <w:pPr>
        <w:pageBreakBefore/>
        <w:spacing w:line="288" w:lineRule="auto"/>
        <w:jc w:val="center"/>
      </w:pPr>
      <w:r>
        <w:lastRenderedPageBreak/>
        <w:t>SJW Group</w:t>
      </w:r>
    </w:p>
    <w:p w:rsidR="00C24B4B" w:rsidRDefault="00E025C9">
      <w:pPr>
        <w:spacing w:line="288" w:lineRule="auto"/>
        <w:jc w:val="center"/>
      </w:pPr>
      <w:r>
        <w:t>Condensed Consolidated Balance Sheets</w:t>
      </w:r>
    </w:p>
    <w:p w:rsidR="00C24B4B" w:rsidRDefault="00E025C9">
      <w:pPr>
        <w:spacing w:line="288" w:lineRule="auto"/>
        <w:jc w:val="center"/>
      </w:pPr>
      <w:r>
        <w:t>(Unaudited)</w:t>
      </w:r>
    </w:p>
    <w:p w:rsidR="00C24B4B" w:rsidRDefault="00E025C9">
      <w:pPr>
        <w:spacing w:line="288" w:lineRule="auto"/>
        <w:jc w:val="center"/>
      </w:pPr>
      <w:r>
        <w:t>(in thousands)</w:t>
      </w:r>
    </w:p>
    <w:p w:rsidR="00C24B4B" w:rsidRDefault="00C24B4B">
      <w:pPr>
        <w:spacing w:after="140"/>
        <w:jc w:val="center"/>
      </w:pPr>
    </w:p>
    <w:tbl>
      <w:tblPr>
        <w:tblW w:w="10240" w:type="dxa"/>
        <w:jc w:val="center"/>
        <w:tblLayout w:type="fixed"/>
        <w:tblCellMar>
          <w:left w:w="10" w:type="dxa"/>
          <w:right w:w="10" w:type="dxa"/>
        </w:tblCellMar>
        <w:tblLook w:val="0000" w:firstRow="0" w:lastRow="0" w:firstColumn="0" w:lastColumn="0" w:noHBand="0" w:noVBand="0"/>
      </w:tblPr>
      <w:tblGrid>
        <w:gridCol w:w="7020"/>
        <w:gridCol w:w="100"/>
        <w:gridCol w:w="1390"/>
        <w:gridCol w:w="70"/>
        <w:gridCol w:w="80"/>
        <w:gridCol w:w="1510"/>
        <w:gridCol w:w="70"/>
      </w:tblGrid>
      <w:tr w:rsidR="00E025C9" w:rsidTr="00E025C9">
        <w:trPr>
          <w:trHeight w:hRule="exact" w:val="460"/>
          <w:jc w:val="center"/>
        </w:trPr>
        <w:tc>
          <w:tcPr>
            <w:tcW w:w="7020" w:type="dxa"/>
            <w:tcMar>
              <w:left w:w="420" w:type="dxa"/>
              <w:right w:w="0" w:type="dxa"/>
            </w:tcMar>
            <w:vAlign w:val="bottom"/>
          </w:tcPr>
          <w:p w:rsidR="00C24B4B" w:rsidRDefault="00C24B4B">
            <w:pPr>
              <w:keepNext/>
              <w:keepLines/>
              <w:spacing w:before="40" w:after="40"/>
            </w:pPr>
          </w:p>
        </w:tc>
        <w:tc>
          <w:tcPr>
            <w:tcW w:w="0" w:type="dxa"/>
            <w:gridSpan w:val="3"/>
            <w:tcBorders>
              <w:bottom w:val="single" w:sz="8" w:space="0" w:color="auto"/>
            </w:tcBorders>
            <w:tcMar>
              <w:left w:w="60" w:type="dxa"/>
              <w:right w:w="60" w:type="dxa"/>
            </w:tcMar>
            <w:vAlign w:val="bottom"/>
          </w:tcPr>
          <w:p w:rsidR="00C24B4B" w:rsidRDefault="00E025C9">
            <w:pPr>
              <w:keepNext/>
              <w:keepLines/>
              <w:spacing w:before="40" w:after="40"/>
              <w:jc w:val="center"/>
              <w:rPr>
                <w:b/>
                <w:sz w:val="18"/>
              </w:rPr>
            </w:pPr>
            <w:r>
              <w:rPr>
                <w:b/>
                <w:color w:val="000000"/>
                <w:sz w:val="18"/>
              </w:rPr>
              <w:t>June 30,</w:t>
            </w:r>
            <w:r>
              <w:rPr>
                <w:b/>
                <w:color w:val="000000"/>
                <w:sz w:val="18"/>
              </w:rPr>
              <w:br/>
              <w:t xml:space="preserve"> 2020</w:t>
            </w:r>
          </w:p>
        </w:tc>
        <w:tc>
          <w:tcPr>
            <w:tcW w:w="80" w:type="dxa"/>
            <w:tcMar>
              <w:left w:w="60" w:type="dxa"/>
              <w:right w:w="0" w:type="dxa"/>
            </w:tcMar>
            <w:vAlign w:val="bottom"/>
          </w:tcPr>
          <w:p w:rsidR="00C24B4B" w:rsidRDefault="00C24B4B">
            <w:pPr>
              <w:keepNext/>
              <w:keepLines/>
              <w:spacing w:before="40" w:after="40"/>
            </w:pPr>
          </w:p>
        </w:tc>
        <w:tc>
          <w:tcPr>
            <w:tcW w:w="1510" w:type="dxa"/>
            <w:gridSpan w:val="2"/>
            <w:tcBorders>
              <w:bottom w:val="single" w:sz="8" w:space="0" w:color="auto"/>
            </w:tcBorders>
            <w:tcMar>
              <w:left w:w="60" w:type="dxa"/>
              <w:right w:w="60" w:type="dxa"/>
            </w:tcMar>
            <w:vAlign w:val="bottom"/>
          </w:tcPr>
          <w:p w:rsidR="00C24B4B" w:rsidRDefault="00E025C9">
            <w:pPr>
              <w:keepNext/>
              <w:keepLines/>
              <w:spacing w:before="40" w:after="40"/>
              <w:jc w:val="center"/>
              <w:rPr>
                <w:b/>
                <w:sz w:val="18"/>
              </w:rPr>
            </w:pPr>
            <w:r>
              <w:rPr>
                <w:b/>
                <w:color w:val="000000"/>
                <w:sz w:val="18"/>
              </w:rPr>
              <w:t>December 31,</w:t>
            </w:r>
            <w:r>
              <w:rPr>
                <w:b/>
                <w:color w:val="000000"/>
                <w:sz w:val="18"/>
              </w:rPr>
              <w:br/>
              <w:t xml:space="preserve"> 2019</w:t>
            </w:r>
          </w:p>
        </w:tc>
      </w:tr>
      <w:tr w:rsidR="00E025C9" w:rsidTr="00E025C9">
        <w:trPr>
          <w:trHeight w:hRule="exact" w:val="280"/>
          <w:jc w:val="center"/>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CAPITALIZATION AND LIABILITIES</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jc w:val="center"/>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CAPITALIZATION:</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C24B4B">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Common stock</w:t>
            </w:r>
            <w:r>
              <w:tab/>
            </w:r>
          </w:p>
        </w:tc>
        <w:tc>
          <w:tcPr>
            <w:tcW w:w="100" w:type="dxa"/>
            <w:tcMar>
              <w:left w:w="0" w:type="dxa"/>
              <w:right w:w="0" w:type="dxa"/>
            </w:tcMar>
            <w:vAlign w:val="bottom"/>
          </w:tcPr>
          <w:p w:rsidR="00C24B4B" w:rsidRDefault="00E025C9">
            <w:pPr>
              <w:keepNext/>
              <w:keepLines/>
              <w:spacing w:before="40" w:after="40"/>
              <w:rPr>
                <w:sz w:val="18"/>
              </w:rPr>
            </w:pPr>
            <w:r>
              <w:rPr>
                <w:color w:val="000000"/>
                <w:sz w:val="18"/>
              </w:rPr>
              <w:t>$</w:t>
            </w:r>
          </w:p>
        </w:tc>
        <w:tc>
          <w:tcPr>
            <w:tcW w:w="1390" w:type="dxa"/>
            <w:tcMar>
              <w:left w:w="0" w:type="dxa"/>
              <w:right w:w="0" w:type="dxa"/>
            </w:tcMar>
            <w:vAlign w:val="bottom"/>
          </w:tcPr>
          <w:p w:rsidR="00C24B4B" w:rsidRDefault="00E025C9">
            <w:pPr>
              <w:keepNext/>
              <w:keepLines/>
              <w:spacing w:before="40" w:after="40"/>
              <w:jc w:val="right"/>
              <w:rPr>
                <w:sz w:val="18"/>
              </w:rPr>
            </w:pPr>
            <w:r>
              <w:rPr>
                <w:color w:val="000000"/>
                <w:sz w:val="18"/>
              </w:rPr>
              <w:t>29</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28</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Additional paid-in capital</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508,098</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506,639</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Retained earnings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387,003</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383,191</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Accumulated other comprehensive (loss) income</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126</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jc w:val="center"/>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sz w:val="18"/>
              </w:rPr>
              <w:t>Total stockholders</w:t>
            </w:r>
            <w:r>
              <w:rPr>
                <w:sz w:val="22"/>
              </w:rPr>
              <w:t>’</w:t>
            </w:r>
            <w:r>
              <w:rPr>
                <w:sz w:val="18"/>
              </w:rPr>
              <w:t xml:space="preserve"> equity</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895,131</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889,984</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Long-term debt, less current portion</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1,315,979</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1,283,597</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jc w:val="center"/>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Total capitalization</w:t>
            </w:r>
            <w:r>
              <w:tab/>
            </w:r>
          </w:p>
        </w:tc>
        <w:tc>
          <w:tcPr>
            <w:tcW w:w="1490" w:type="dxa"/>
            <w:gridSpan w:val="2"/>
            <w:tcBorders>
              <w:top w:val="single" w:sz="8" w:space="0" w:color="auto"/>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2,211,110</w:t>
            </w:r>
          </w:p>
        </w:tc>
        <w:tc>
          <w:tcPr>
            <w:tcW w:w="70" w:type="dxa"/>
            <w:tcBorders>
              <w:top w:val="single" w:sz="8" w:space="0" w:color="auto"/>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top w:val="single" w:sz="8" w:space="0" w:color="auto"/>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2,173,581</w:t>
            </w:r>
          </w:p>
        </w:tc>
        <w:tc>
          <w:tcPr>
            <w:tcW w:w="70" w:type="dxa"/>
            <w:tcBorders>
              <w:top w:val="single" w:sz="8" w:space="0" w:color="auto"/>
              <w:bottom w:val="single" w:sz="8" w:space="0" w:color="auto"/>
            </w:tcBorders>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CURRENT LIABILITIES:</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Lines of credit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146,671</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117,209</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Current portion of long-term debt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22,354</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22,272</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Accrued groundwater extraction charges, purchased water and power</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26,614</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17,211</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Accounts payable</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24,295</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34,886</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Accrued interest</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12,390</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13,140</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Accrued payroll</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12,064</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11,570</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 xml:space="preserve">   Other current liabilities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13,578</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18,279</w:t>
            </w:r>
          </w:p>
        </w:tc>
        <w:tc>
          <w:tcPr>
            <w:tcW w:w="70" w:type="dxa"/>
            <w:tcBorders>
              <w:bottom w:val="single" w:sz="8" w:space="0" w:color="auto"/>
            </w:tcBorders>
            <w:tcMar>
              <w:left w:w="0" w:type="dxa"/>
              <w:right w:w="0" w:type="dxa"/>
            </w:tcMar>
          </w:tcPr>
          <w:p w:rsidR="00C24B4B" w:rsidRDefault="00C24B4B"/>
        </w:tc>
      </w:tr>
      <w:tr w:rsidR="00E025C9" w:rsidTr="00E025C9">
        <w:trPr>
          <w:trHeight w:hRule="exact" w:val="280"/>
          <w:jc w:val="center"/>
        </w:trPr>
        <w:tc>
          <w:tcPr>
            <w:tcW w:w="7020" w:type="dxa"/>
            <w:tcMar>
              <w:left w:w="660" w:type="dxa"/>
              <w:right w:w="40" w:type="dxa"/>
            </w:tcMar>
            <w:vAlign w:val="bottom"/>
          </w:tcPr>
          <w:p w:rsidR="00C24B4B" w:rsidRDefault="00E025C9">
            <w:pPr>
              <w:keepNext/>
              <w:keepLines/>
              <w:tabs>
                <w:tab w:val="left" w:leader="dot" w:pos="7020"/>
              </w:tabs>
              <w:spacing w:before="40" w:after="40"/>
              <w:rPr>
                <w:sz w:val="18"/>
              </w:rPr>
            </w:pPr>
            <w:r>
              <w:rPr>
                <w:color w:val="000000"/>
                <w:sz w:val="18"/>
              </w:rPr>
              <w:t>Total current liabilities</w:t>
            </w:r>
            <w:r>
              <w:tab/>
            </w:r>
          </w:p>
        </w:tc>
        <w:tc>
          <w:tcPr>
            <w:tcW w:w="1490" w:type="dxa"/>
            <w:gridSpan w:val="2"/>
            <w:tcBorders>
              <w:top w:val="single" w:sz="8" w:space="0" w:color="auto"/>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257,966</w:t>
            </w:r>
          </w:p>
        </w:tc>
        <w:tc>
          <w:tcPr>
            <w:tcW w:w="70" w:type="dxa"/>
            <w:tcBorders>
              <w:top w:val="single" w:sz="8" w:space="0" w:color="auto"/>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top w:val="single" w:sz="8" w:space="0" w:color="auto"/>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234,567</w:t>
            </w:r>
          </w:p>
        </w:tc>
        <w:tc>
          <w:tcPr>
            <w:tcW w:w="70" w:type="dxa"/>
            <w:tcBorders>
              <w:top w:val="single" w:sz="8" w:space="0" w:color="auto"/>
              <w:bottom w:val="single" w:sz="8" w:space="0" w:color="auto"/>
            </w:tcBorders>
            <w:tcMar>
              <w:left w:w="0" w:type="dxa"/>
              <w:right w:w="0" w:type="dxa"/>
            </w:tcMar>
          </w:tcPr>
          <w:p w:rsidR="00C24B4B" w:rsidRDefault="00C24B4B"/>
        </w:tc>
      </w:tr>
      <w:tr w:rsidR="00E025C9" w:rsidTr="00E025C9">
        <w:trPr>
          <w:trHeight w:hRule="exact" w:val="280"/>
          <w:jc w:val="center"/>
        </w:trPr>
        <w:tc>
          <w:tcPr>
            <w:tcW w:w="7020" w:type="dxa"/>
            <w:tcMar>
              <w:left w:w="60" w:type="dxa"/>
              <w:right w:w="0" w:type="dxa"/>
            </w:tcMar>
            <w:vAlign w:val="bottom"/>
          </w:tcPr>
          <w:p w:rsidR="00C24B4B" w:rsidRDefault="00C24B4B">
            <w:pPr>
              <w:keepNext/>
              <w:keepLines/>
              <w:spacing w:before="40" w:after="40"/>
            </w:pP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DEFERRED INCOME TAXES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195,116</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195,598</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spacing w:before="40" w:after="40"/>
              <w:rPr>
                <w:sz w:val="18"/>
              </w:rPr>
            </w:pPr>
            <w:r>
              <w:rPr>
                <w:color w:val="000000"/>
                <w:sz w:val="18"/>
              </w:rPr>
              <w:t>ADVANCES FOR CONSTRUCTION AND CONTRIBUTIONS IN AID OF</w:t>
            </w:r>
          </w:p>
        </w:tc>
        <w:tc>
          <w:tcPr>
            <w:tcW w:w="0" w:type="dxa"/>
            <w:gridSpan w:val="3"/>
            <w:tcMar>
              <w:left w:w="0" w:type="dxa"/>
              <w:right w:w="60" w:type="dxa"/>
            </w:tcMar>
            <w:vAlign w:val="bottom"/>
          </w:tcPr>
          <w:p w:rsidR="00C24B4B" w:rsidRDefault="00C24B4B">
            <w:pPr>
              <w:keepNext/>
              <w:keepLines/>
              <w:spacing w:before="40" w:after="40"/>
            </w:pPr>
          </w:p>
        </w:tc>
        <w:tc>
          <w:tcPr>
            <w:tcW w:w="80" w:type="dxa"/>
            <w:tcMar>
              <w:left w:w="0" w:type="dxa"/>
              <w:right w:w="60" w:type="dxa"/>
            </w:tcMar>
            <w:vAlign w:val="bottom"/>
          </w:tcPr>
          <w:p w:rsidR="00C24B4B" w:rsidRDefault="00C24B4B">
            <w:pPr>
              <w:keepNext/>
              <w:keepLines/>
              <w:spacing w:before="40" w:after="40"/>
            </w:pPr>
          </w:p>
        </w:tc>
        <w:tc>
          <w:tcPr>
            <w:tcW w:w="1510" w:type="dxa"/>
            <w:gridSpan w:val="2"/>
            <w:tcMar>
              <w:left w:w="0" w:type="dxa"/>
              <w:right w:w="60" w:type="dxa"/>
            </w:tcMar>
            <w:vAlign w:val="bottom"/>
          </w:tcPr>
          <w:p w:rsidR="00C24B4B" w:rsidRDefault="00C24B4B">
            <w:pPr>
              <w:keepNext/>
              <w:keepLines/>
              <w:spacing w:before="40" w:after="40"/>
            </w:pPr>
          </w:p>
        </w:tc>
      </w:tr>
      <w:tr w:rsidR="00E025C9" w:rsidTr="00E025C9">
        <w:trPr>
          <w:trHeight w:hRule="exact" w:val="280"/>
          <w:jc w:val="center"/>
        </w:trPr>
        <w:tc>
          <w:tcPr>
            <w:tcW w:w="7020" w:type="dxa"/>
            <w:tcMar>
              <w:left w:w="300" w:type="dxa"/>
              <w:right w:w="40" w:type="dxa"/>
            </w:tcMar>
            <w:vAlign w:val="bottom"/>
          </w:tcPr>
          <w:p w:rsidR="00C24B4B" w:rsidRDefault="00E025C9">
            <w:pPr>
              <w:keepNext/>
              <w:keepLines/>
              <w:tabs>
                <w:tab w:val="left" w:leader="dot" w:pos="7020"/>
              </w:tabs>
              <w:spacing w:before="40" w:after="40"/>
              <w:rPr>
                <w:sz w:val="18"/>
              </w:rPr>
            </w:pPr>
            <w:r>
              <w:rPr>
                <w:color w:val="000000"/>
                <w:sz w:val="18"/>
              </w:rPr>
              <w:t>CONSTRUCTION</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409,125</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398,374</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POSTRETIREMENT BENEFIT PLANS</w:t>
            </w:r>
            <w:r>
              <w:tab/>
            </w:r>
          </w:p>
        </w:tc>
        <w:tc>
          <w:tcPr>
            <w:tcW w:w="1490" w:type="dxa"/>
            <w:gridSpan w:val="2"/>
            <w:tcMar>
              <w:left w:w="0" w:type="dxa"/>
              <w:right w:w="0" w:type="dxa"/>
            </w:tcMar>
            <w:vAlign w:val="bottom"/>
          </w:tcPr>
          <w:p w:rsidR="00C24B4B" w:rsidRDefault="00E025C9">
            <w:pPr>
              <w:keepNext/>
              <w:keepLines/>
              <w:spacing w:before="40" w:after="40"/>
              <w:jc w:val="right"/>
              <w:rPr>
                <w:sz w:val="18"/>
              </w:rPr>
            </w:pPr>
            <w:r>
              <w:rPr>
                <w:color w:val="000000"/>
                <w:sz w:val="18"/>
              </w:rPr>
              <w:t>113,983</w:t>
            </w:r>
          </w:p>
        </w:tc>
        <w:tc>
          <w:tcPr>
            <w:tcW w:w="70" w:type="dxa"/>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Mar>
              <w:left w:w="0" w:type="dxa"/>
              <w:right w:w="0" w:type="dxa"/>
            </w:tcMar>
            <w:vAlign w:val="bottom"/>
          </w:tcPr>
          <w:p w:rsidR="00C24B4B" w:rsidRDefault="00E025C9">
            <w:pPr>
              <w:keepNext/>
              <w:keepLines/>
              <w:spacing w:before="40" w:after="40"/>
              <w:jc w:val="right"/>
              <w:rPr>
                <w:sz w:val="18"/>
              </w:rPr>
            </w:pPr>
            <w:r>
              <w:rPr>
                <w:color w:val="000000"/>
                <w:sz w:val="18"/>
              </w:rPr>
              <w:t>108,044</w:t>
            </w:r>
          </w:p>
        </w:tc>
        <w:tc>
          <w:tcPr>
            <w:tcW w:w="70" w:type="dxa"/>
            <w:tcMar>
              <w:left w:w="0" w:type="dxa"/>
              <w:right w:w="0" w:type="dxa"/>
            </w:tcMar>
          </w:tcPr>
          <w:p w:rsidR="00C24B4B" w:rsidRDefault="00C24B4B"/>
        </w:tc>
      </w:tr>
      <w:tr w:rsidR="00E025C9" w:rsidTr="00E025C9">
        <w:trPr>
          <w:trHeight w:hRule="exact" w:val="280"/>
          <w:jc w:val="center"/>
        </w:trPr>
        <w:tc>
          <w:tcPr>
            <w:tcW w:w="7020" w:type="dxa"/>
            <w:tcMar>
              <w:left w:w="60" w:type="dxa"/>
              <w:right w:w="40" w:type="dxa"/>
            </w:tcMar>
            <w:vAlign w:val="bottom"/>
          </w:tcPr>
          <w:p w:rsidR="00C24B4B" w:rsidRDefault="00E025C9">
            <w:pPr>
              <w:keepNext/>
              <w:keepLines/>
              <w:tabs>
                <w:tab w:val="left" w:leader="dot" w:pos="7020"/>
              </w:tabs>
              <w:spacing w:before="40" w:after="40"/>
              <w:rPr>
                <w:sz w:val="18"/>
              </w:rPr>
            </w:pPr>
            <w:r>
              <w:rPr>
                <w:color w:val="000000"/>
                <w:sz w:val="18"/>
              </w:rPr>
              <w:t>OTHER NONCURRENT LIABILITIES</w:t>
            </w:r>
            <w:r>
              <w:tab/>
            </w:r>
          </w:p>
        </w:tc>
        <w:tc>
          <w:tcPr>
            <w:tcW w:w="1490" w:type="dxa"/>
            <w:gridSpan w:val="2"/>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22,677</w:t>
            </w:r>
          </w:p>
        </w:tc>
        <w:tc>
          <w:tcPr>
            <w:tcW w:w="70" w:type="dxa"/>
            <w:tcBorders>
              <w:bottom w:val="single" w:sz="8"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Next/>
              <w:keepLines/>
              <w:spacing w:before="40" w:after="40"/>
            </w:pPr>
          </w:p>
        </w:tc>
        <w:tc>
          <w:tcPr>
            <w:tcW w:w="1510" w:type="dxa"/>
            <w:tcBorders>
              <w:bottom w:val="single" w:sz="8" w:space="0" w:color="auto"/>
            </w:tcBorders>
            <w:tcMar>
              <w:left w:w="0" w:type="dxa"/>
              <w:right w:w="0" w:type="dxa"/>
            </w:tcMar>
            <w:vAlign w:val="bottom"/>
          </w:tcPr>
          <w:p w:rsidR="00C24B4B" w:rsidRDefault="00E025C9">
            <w:pPr>
              <w:keepNext/>
              <w:keepLines/>
              <w:spacing w:before="40" w:after="40"/>
              <w:jc w:val="right"/>
              <w:rPr>
                <w:sz w:val="18"/>
              </w:rPr>
            </w:pPr>
            <w:r>
              <w:rPr>
                <w:color w:val="000000"/>
                <w:sz w:val="18"/>
              </w:rPr>
              <w:t>22,306</w:t>
            </w:r>
          </w:p>
        </w:tc>
        <w:tc>
          <w:tcPr>
            <w:tcW w:w="70" w:type="dxa"/>
            <w:tcBorders>
              <w:bottom w:val="single" w:sz="8" w:space="0" w:color="auto"/>
            </w:tcBorders>
            <w:tcMar>
              <w:left w:w="0" w:type="dxa"/>
              <w:right w:w="0" w:type="dxa"/>
            </w:tcMar>
          </w:tcPr>
          <w:p w:rsidR="00C24B4B" w:rsidRDefault="00C24B4B"/>
        </w:tc>
      </w:tr>
      <w:tr w:rsidR="00C24B4B">
        <w:trPr>
          <w:trHeight w:hRule="exact" w:val="280"/>
          <w:jc w:val="center"/>
        </w:trPr>
        <w:tc>
          <w:tcPr>
            <w:tcW w:w="7020" w:type="dxa"/>
            <w:tcMar>
              <w:left w:w="60" w:type="dxa"/>
              <w:right w:w="0" w:type="dxa"/>
            </w:tcMar>
            <w:vAlign w:val="bottom"/>
          </w:tcPr>
          <w:p w:rsidR="00C24B4B" w:rsidRDefault="00C24B4B">
            <w:pPr>
              <w:keepLines/>
              <w:spacing w:before="40" w:after="40"/>
            </w:pPr>
          </w:p>
        </w:tc>
        <w:tc>
          <w:tcPr>
            <w:tcW w:w="100" w:type="dxa"/>
            <w:tcBorders>
              <w:top w:val="single" w:sz="8" w:space="0" w:color="auto"/>
              <w:bottom w:val="double" w:sz="4" w:space="0" w:color="auto"/>
            </w:tcBorders>
            <w:tcMar>
              <w:left w:w="0" w:type="dxa"/>
              <w:right w:w="0" w:type="dxa"/>
            </w:tcMar>
            <w:vAlign w:val="bottom"/>
          </w:tcPr>
          <w:p w:rsidR="00C24B4B" w:rsidRDefault="00E025C9">
            <w:pPr>
              <w:keepLines/>
              <w:spacing w:before="40" w:after="40"/>
              <w:rPr>
                <w:sz w:val="18"/>
              </w:rPr>
            </w:pPr>
            <w:r>
              <w:rPr>
                <w:color w:val="000000"/>
                <w:sz w:val="18"/>
              </w:rPr>
              <w:t>$</w:t>
            </w:r>
          </w:p>
        </w:tc>
        <w:tc>
          <w:tcPr>
            <w:tcW w:w="1390" w:type="dxa"/>
            <w:tcBorders>
              <w:top w:val="single" w:sz="8" w:space="0" w:color="auto"/>
              <w:bottom w:val="double" w:sz="4" w:space="0" w:color="auto"/>
            </w:tcBorders>
            <w:tcMar>
              <w:left w:w="0" w:type="dxa"/>
              <w:right w:w="0" w:type="dxa"/>
            </w:tcMar>
            <w:vAlign w:val="bottom"/>
          </w:tcPr>
          <w:p w:rsidR="00C24B4B" w:rsidRDefault="00E025C9">
            <w:pPr>
              <w:keepLines/>
              <w:spacing w:before="40" w:after="40"/>
              <w:jc w:val="right"/>
              <w:rPr>
                <w:sz w:val="18"/>
              </w:rPr>
            </w:pPr>
            <w:r>
              <w:rPr>
                <w:color w:val="000000"/>
                <w:sz w:val="18"/>
              </w:rPr>
              <w:t>3,209,977</w:t>
            </w:r>
          </w:p>
        </w:tc>
        <w:tc>
          <w:tcPr>
            <w:tcW w:w="70" w:type="dxa"/>
            <w:tcBorders>
              <w:top w:val="single" w:sz="8" w:space="0" w:color="auto"/>
              <w:bottom w:val="double" w:sz="4" w:space="0" w:color="auto"/>
            </w:tcBorders>
            <w:tcMar>
              <w:left w:w="0" w:type="dxa"/>
              <w:right w:w="0" w:type="dxa"/>
            </w:tcMar>
          </w:tcPr>
          <w:p w:rsidR="00C24B4B" w:rsidRDefault="00C24B4B"/>
        </w:tc>
        <w:tc>
          <w:tcPr>
            <w:tcW w:w="80" w:type="dxa"/>
            <w:tcMar>
              <w:left w:w="0" w:type="dxa"/>
              <w:right w:w="60" w:type="dxa"/>
            </w:tcMar>
            <w:vAlign w:val="bottom"/>
          </w:tcPr>
          <w:p w:rsidR="00C24B4B" w:rsidRDefault="00C24B4B">
            <w:pPr>
              <w:keepLines/>
              <w:spacing w:before="40" w:after="40"/>
            </w:pPr>
          </w:p>
        </w:tc>
        <w:tc>
          <w:tcPr>
            <w:tcW w:w="1510" w:type="dxa"/>
            <w:tcBorders>
              <w:top w:val="single" w:sz="8" w:space="0" w:color="auto"/>
              <w:bottom w:val="double" w:sz="4" w:space="0" w:color="auto"/>
            </w:tcBorders>
            <w:tcMar>
              <w:left w:w="0" w:type="dxa"/>
              <w:right w:w="0" w:type="dxa"/>
            </w:tcMar>
            <w:vAlign w:val="bottom"/>
          </w:tcPr>
          <w:p w:rsidR="00C24B4B" w:rsidRDefault="00E025C9">
            <w:pPr>
              <w:keepLines/>
              <w:spacing w:before="40" w:after="40"/>
              <w:jc w:val="right"/>
              <w:rPr>
                <w:sz w:val="18"/>
              </w:rPr>
            </w:pPr>
            <w:r>
              <w:rPr>
                <w:color w:val="000000"/>
                <w:sz w:val="18"/>
              </w:rPr>
              <w:t>3,132,470</w:t>
            </w:r>
          </w:p>
        </w:tc>
        <w:tc>
          <w:tcPr>
            <w:tcW w:w="70" w:type="dxa"/>
            <w:tcBorders>
              <w:top w:val="single" w:sz="8" w:space="0" w:color="auto"/>
              <w:bottom w:val="double" w:sz="4" w:space="0" w:color="auto"/>
            </w:tcBorders>
            <w:tcMar>
              <w:left w:w="0" w:type="dxa"/>
              <w:right w:w="0" w:type="dxa"/>
            </w:tcMar>
          </w:tcPr>
          <w:p w:rsidR="00C24B4B" w:rsidRDefault="00C24B4B"/>
        </w:tc>
      </w:tr>
    </w:tbl>
    <w:p w:rsidR="00C24B4B" w:rsidRDefault="00C24B4B">
      <w:pPr>
        <w:spacing w:before="60" w:line="288" w:lineRule="auto"/>
      </w:pPr>
    </w:p>
    <w:p w:rsidR="00C24B4B" w:rsidRDefault="00C24B4B">
      <w:pPr>
        <w:spacing w:line="288" w:lineRule="auto"/>
      </w:pPr>
    </w:p>
    <w:p w:rsidR="00C24B4B" w:rsidRDefault="00C24B4B">
      <w:pPr>
        <w:spacing w:line="288" w:lineRule="auto"/>
      </w:pPr>
    </w:p>
    <w:sectPr w:rsidR="00C24B4B">
      <w:headerReference w:type="default" r:id="rId7"/>
      <w:footerReference w:type="default" r:id="rId8"/>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3B" w:rsidRDefault="00D4713B">
      <w:r>
        <w:separator/>
      </w:r>
    </w:p>
  </w:endnote>
  <w:endnote w:type="continuationSeparator" w:id="0">
    <w:p w:rsidR="00D4713B" w:rsidRDefault="00D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4B" w:rsidRDefault="00E025C9">
    <w:pPr>
      <w:spacing w:line="288" w:lineRule="auto"/>
      <w:jc w:val="center"/>
    </w:pPr>
    <w: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3B" w:rsidRDefault="00D4713B">
      <w:r>
        <w:separator/>
      </w:r>
    </w:p>
  </w:footnote>
  <w:footnote w:type="continuationSeparator" w:id="0">
    <w:p w:rsidR="00D4713B" w:rsidRDefault="00D47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4B" w:rsidRDefault="00C24B4B">
    <w:pPr>
      <w:spacing w:line="288"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4B"/>
    <w:rsid w:val="00675B20"/>
    <w:rsid w:val="008B6DD0"/>
    <w:rsid w:val="00B63B4F"/>
    <w:rsid w:val="00C24B4B"/>
    <w:rsid w:val="00D4713B"/>
    <w:rsid w:val="00E025C9"/>
    <w:rsid w:val="00E8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4649"/>
  <w15:docId w15:val="{E9E00744-836A-4764-A356-FE6B640E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wgro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San Jose Water Company</Company>
  <LinksUpToDate>false</LinksUpToDate>
  <CharactersWithSpaces>15853</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Liann Walborsky</cp:lastModifiedBy>
  <cp:revision>3</cp:revision>
  <dcterms:created xsi:type="dcterms:W3CDTF">2020-08-06T21:53:00Z</dcterms:created>
  <dcterms:modified xsi:type="dcterms:W3CDTF">2020-08-06T22:00:00Z</dcterms:modified>
</cp:coreProperties>
</file>