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E7B" w:rsidRDefault="00F03E7B" w:rsidP="006230CD">
      <w:pPr>
        <w:ind w:left="360" w:right="360"/>
        <w:jc w:val="center"/>
        <w:rPr>
          <w:b/>
          <w:sz w:val="24"/>
          <w:szCs w:val="24"/>
        </w:rPr>
      </w:pPr>
      <w:bookmarkStart w:id="0" w:name="_GoBack"/>
      <w:bookmarkEnd w:id="0"/>
      <w:r w:rsidRPr="00206ECC">
        <w:rPr>
          <w:b/>
          <w:sz w:val="24"/>
          <w:szCs w:val="24"/>
        </w:rPr>
        <w:t xml:space="preserve">SJW </w:t>
      </w:r>
      <w:r>
        <w:rPr>
          <w:b/>
          <w:sz w:val="24"/>
          <w:szCs w:val="24"/>
        </w:rPr>
        <w:t>GROUP</w:t>
      </w:r>
      <w:r w:rsidRPr="00206ECC">
        <w:rPr>
          <w:b/>
          <w:sz w:val="24"/>
          <w:szCs w:val="24"/>
        </w:rPr>
        <w:t xml:space="preserve"> </w:t>
      </w:r>
      <w:r w:rsidR="006230CD" w:rsidRPr="006230CD">
        <w:rPr>
          <w:b/>
          <w:caps/>
          <w:sz w:val="24"/>
          <w:szCs w:val="24"/>
        </w:rPr>
        <w:t>Announces Quarterly Dividend</w:t>
      </w:r>
    </w:p>
    <w:p w:rsidR="006230CD" w:rsidRPr="00206ECC" w:rsidRDefault="006230CD" w:rsidP="006230CD">
      <w:pPr>
        <w:ind w:left="360" w:right="360"/>
        <w:jc w:val="center"/>
        <w:rPr>
          <w:b/>
          <w:sz w:val="24"/>
          <w:szCs w:val="24"/>
        </w:rPr>
      </w:pPr>
    </w:p>
    <w:p w:rsidR="0086634E" w:rsidRDefault="00F03E7B" w:rsidP="006230CD">
      <w:pPr>
        <w:spacing w:line="264" w:lineRule="auto"/>
        <w:ind w:firstLine="720"/>
        <w:jc w:val="both"/>
        <w:rPr>
          <w:rFonts w:ascii="Times New Roman" w:hAnsi="Times New Roman"/>
          <w:sz w:val="24"/>
          <w:szCs w:val="24"/>
        </w:rPr>
      </w:pPr>
      <w:r w:rsidRPr="00206ECC">
        <w:rPr>
          <w:rFonts w:ascii="Times New Roman" w:hAnsi="Times New Roman"/>
          <w:sz w:val="24"/>
          <w:szCs w:val="24"/>
        </w:rPr>
        <w:t>SAN JOS</w:t>
      </w:r>
      <w:r w:rsidR="00B6074B">
        <w:rPr>
          <w:rFonts w:ascii="Times New Roman" w:hAnsi="Times New Roman"/>
          <w:sz w:val="24"/>
          <w:szCs w:val="24"/>
        </w:rPr>
        <w:t>E, Calif.--(BUSINESS WIRE)--</w:t>
      </w:r>
      <w:r w:rsidR="006230CD" w:rsidRPr="006C5F81">
        <w:rPr>
          <w:rFonts w:ascii="Times New Roman" w:hAnsi="Times New Roman"/>
          <w:sz w:val="24"/>
          <w:szCs w:val="24"/>
        </w:rPr>
        <w:t>The Directors of SJW Group</w:t>
      </w:r>
      <w:r w:rsidR="00B6074B" w:rsidRPr="006C5F81">
        <w:rPr>
          <w:rFonts w:ascii="Times New Roman" w:hAnsi="Times New Roman"/>
          <w:sz w:val="24"/>
          <w:szCs w:val="24"/>
        </w:rPr>
        <w:t xml:space="preserve"> (NYSE:SJW)</w:t>
      </w:r>
      <w:r w:rsidR="006230CD" w:rsidRPr="006C5F81">
        <w:rPr>
          <w:rFonts w:ascii="Times New Roman" w:hAnsi="Times New Roman"/>
          <w:sz w:val="24"/>
          <w:szCs w:val="24"/>
        </w:rPr>
        <w:t xml:space="preserve"> today declared a quarterly dividend on common stock of $0.32 per share. The dividend is payable on </w:t>
      </w:r>
      <w:r w:rsidR="00AE5745" w:rsidRPr="006C5F81">
        <w:rPr>
          <w:rFonts w:ascii="Times New Roman" w:hAnsi="Times New Roman"/>
          <w:sz w:val="24"/>
          <w:szCs w:val="24"/>
        </w:rPr>
        <w:t>September</w:t>
      </w:r>
      <w:r w:rsidR="006230CD" w:rsidRPr="006C5F81">
        <w:rPr>
          <w:rFonts w:ascii="Times New Roman" w:hAnsi="Times New Roman"/>
          <w:sz w:val="24"/>
          <w:szCs w:val="24"/>
        </w:rPr>
        <w:t xml:space="preserve"> 1, 2020, to shareholders of record on </w:t>
      </w:r>
      <w:r w:rsidR="00AE5745" w:rsidRPr="006C5F81">
        <w:rPr>
          <w:rFonts w:ascii="Times New Roman" w:hAnsi="Times New Roman"/>
          <w:sz w:val="24"/>
          <w:szCs w:val="24"/>
        </w:rPr>
        <w:t>August 10</w:t>
      </w:r>
      <w:r w:rsidR="006230CD" w:rsidRPr="006C5F81">
        <w:rPr>
          <w:rFonts w:ascii="Times New Roman" w:hAnsi="Times New Roman"/>
          <w:sz w:val="24"/>
          <w:szCs w:val="24"/>
        </w:rPr>
        <w:t>, 2020.</w:t>
      </w:r>
      <w:r w:rsidR="00472FED" w:rsidRPr="006C5F81">
        <w:rPr>
          <w:rFonts w:ascii="Times New Roman" w:hAnsi="Times New Roman"/>
          <w:sz w:val="24"/>
          <w:szCs w:val="24"/>
        </w:rPr>
        <w:t xml:space="preserve"> This marks the 30</w:t>
      </w:r>
      <w:r w:rsidR="00AE5745" w:rsidRPr="006C5F81">
        <w:rPr>
          <w:rFonts w:ascii="Times New Roman" w:hAnsi="Times New Roman"/>
          <w:sz w:val="24"/>
          <w:szCs w:val="24"/>
        </w:rPr>
        <w:t>8</w:t>
      </w:r>
      <w:r w:rsidR="00472FED" w:rsidRPr="006C5F81">
        <w:rPr>
          <w:rFonts w:ascii="Times New Roman" w:hAnsi="Times New Roman"/>
          <w:sz w:val="24"/>
          <w:szCs w:val="24"/>
          <w:vertAlign w:val="superscript"/>
        </w:rPr>
        <w:t>th</w:t>
      </w:r>
      <w:r w:rsidR="00472FED" w:rsidRPr="006C5F81">
        <w:rPr>
          <w:rFonts w:ascii="Times New Roman" w:hAnsi="Times New Roman"/>
          <w:sz w:val="24"/>
          <w:szCs w:val="24"/>
        </w:rPr>
        <w:t xml:space="preserve"> consecutive dividend payment by the company. For 5</w:t>
      </w:r>
      <w:r w:rsidR="00F24E2E" w:rsidRPr="006C5F81">
        <w:rPr>
          <w:rFonts w:ascii="Times New Roman" w:hAnsi="Times New Roman"/>
          <w:sz w:val="24"/>
          <w:szCs w:val="24"/>
        </w:rPr>
        <w:t>3</w:t>
      </w:r>
      <w:r w:rsidR="00472FED" w:rsidRPr="006C5F81">
        <w:rPr>
          <w:rFonts w:ascii="Times New Roman" w:hAnsi="Times New Roman"/>
          <w:sz w:val="24"/>
          <w:szCs w:val="24"/>
        </w:rPr>
        <w:t xml:space="preserve"> consecutive years, SJW Group stockholders</w:t>
      </w:r>
      <w:r w:rsidR="00472FED" w:rsidRPr="00472FED">
        <w:rPr>
          <w:rFonts w:ascii="Times New Roman" w:hAnsi="Times New Roman"/>
          <w:sz w:val="24"/>
          <w:szCs w:val="24"/>
        </w:rPr>
        <w:t xml:space="preserve"> have received an increase in their calendar year dividend, which places it in an exclusive group of companies on the New York Stock Exchange.</w:t>
      </w:r>
    </w:p>
    <w:p w:rsidR="006230CD" w:rsidRPr="007B2495" w:rsidRDefault="006230CD" w:rsidP="006230CD">
      <w:pPr>
        <w:spacing w:line="264" w:lineRule="auto"/>
        <w:ind w:firstLine="720"/>
        <w:jc w:val="both"/>
        <w:rPr>
          <w:rFonts w:ascii="Times New Roman" w:hAnsi="Times New Roman"/>
          <w:sz w:val="24"/>
          <w:szCs w:val="24"/>
        </w:rPr>
      </w:pPr>
    </w:p>
    <w:p w:rsidR="00B3106C" w:rsidRPr="00B3106C" w:rsidRDefault="00B3106C" w:rsidP="00B3106C">
      <w:pPr>
        <w:spacing w:line="264" w:lineRule="auto"/>
        <w:rPr>
          <w:rFonts w:ascii="Times New Roman" w:hAnsi="Times New Roman"/>
          <w:b/>
          <w:sz w:val="24"/>
          <w:szCs w:val="24"/>
        </w:rPr>
      </w:pPr>
      <w:r w:rsidRPr="00B3106C">
        <w:rPr>
          <w:rFonts w:ascii="Times New Roman" w:hAnsi="Times New Roman"/>
          <w:b/>
          <w:sz w:val="24"/>
          <w:szCs w:val="24"/>
        </w:rPr>
        <w:t>About SJW Group</w:t>
      </w:r>
      <w:r w:rsidRPr="00B3106C">
        <w:rPr>
          <w:rFonts w:ascii="Times New Roman" w:hAnsi="Times New Roman"/>
          <w:b/>
          <w:sz w:val="24"/>
          <w:szCs w:val="24"/>
        </w:rPr>
        <w:tab/>
      </w:r>
    </w:p>
    <w:p w:rsidR="00B3106C" w:rsidRPr="00B3106C" w:rsidRDefault="00B3106C" w:rsidP="00B3106C">
      <w:pPr>
        <w:spacing w:line="264" w:lineRule="auto"/>
        <w:rPr>
          <w:rFonts w:ascii="Times New Roman" w:hAnsi="Times New Roman"/>
          <w:b/>
          <w:sz w:val="24"/>
          <w:szCs w:val="24"/>
        </w:rPr>
      </w:pPr>
    </w:p>
    <w:p w:rsidR="00B3106C" w:rsidRPr="00B3106C" w:rsidRDefault="00B3106C" w:rsidP="00B3106C">
      <w:pPr>
        <w:spacing w:line="264" w:lineRule="auto"/>
        <w:rPr>
          <w:rFonts w:ascii="Times New Roman" w:hAnsi="Times New Roman"/>
          <w:sz w:val="24"/>
          <w:szCs w:val="24"/>
        </w:rPr>
      </w:pPr>
      <w:r w:rsidRPr="00B3106C">
        <w:rPr>
          <w:rFonts w:ascii="Times New Roman" w:hAnsi="Times New Roman"/>
          <w:sz w:val="24"/>
          <w:szCs w:val="24"/>
        </w:rPr>
        <w:tab/>
        <w:t>SJW Group is the second largest investor-owned pure play water and wastewater utility based on rate base in the United States, providing life-saving and high-quality water service to nearly 1.5 million people. SJW Group's locally led and operated water utilities - San Jose Water Company in California; Connecticut Water Company, Avon Water Company and Heritage Village Water Company in Connecticut; Maine Water Company in Maine; and SJWTX, Inc. (dba Canyon Lake Water Service Company) in Texas - possess the financial strength, operational expertise and technological innovation to safeguard the environment, deliver outstanding service to customers and provide opportunities to employees. SJW Group remains focused on investing in its operations, remaining actively engaged in its local communities and delivering continued sustainable value to its shareholders. For more information about SJW Group, please visit www.sjwgroup.com.</w:t>
      </w:r>
    </w:p>
    <w:p w:rsidR="00B3106C" w:rsidRPr="00B3106C" w:rsidRDefault="00B3106C" w:rsidP="00B3106C">
      <w:pPr>
        <w:spacing w:line="264" w:lineRule="auto"/>
        <w:rPr>
          <w:rFonts w:ascii="Times New Roman" w:hAnsi="Times New Roman"/>
          <w:b/>
          <w:sz w:val="24"/>
          <w:szCs w:val="24"/>
        </w:rPr>
      </w:pPr>
    </w:p>
    <w:p w:rsidR="00B3106C" w:rsidRPr="00B3106C" w:rsidRDefault="00B3106C" w:rsidP="00B3106C">
      <w:pPr>
        <w:spacing w:line="264" w:lineRule="auto"/>
        <w:rPr>
          <w:rFonts w:ascii="Times New Roman" w:hAnsi="Times New Roman"/>
          <w:b/>
          <w:sz w:val="24"/>
          <w:szCs w:val="24"/>
        </w:rPr>
      </w:pPr>
      <w:r w:rsidRPr="00B3106C">
        <w:rPr>
          <w:rFonts w:ascii="Times New Roman" w:hAnsi="Times New Roman"/>
          <w:b/>
          <w:sz w:val="24"/>
          <w:szCs w:val="24"/>
        </w:rPr>
        <w:t>Forward-Looking Statements</w:t>
      </w:r>
    </w:p>
    <w:p w:rsidR="00B3106C" w:rsidRPr="00B3106C" w:rsidRDefault="00B3106C" w:rsidP="00B3106C">
      <w:pPr>
        <w:spacing w:line="264" w:lineRule="auto"/>
        <w:rPr>
          <w:rFonts w:ascii="Times New Roman" w:hAnsi="Times New Roman"/>
          <w:b/>
          <w:sz w:val="24"/>
          <w:szCs w:val="24"/>
        </w:rPr>
      </w:pPr>
    </w:p>
    <w:p w:rsidR="001E2F95" w:rsidRPr="00B3106C" w:rsidRDefault="001E2F95" w:rsidP="001E2F95">
      <w:pPr>
        <w:spacing w:line="264" w:lineRule="auto"/>
        <w:ind w:firstLine="720"/>
        <w:rPr>
          <w:rFonts w:ascii="Times New Roman" w:hAnsi="Times New Roman"/>
          <w:b/>
          <w:sz w:val="24"/>
          <w:szCs w:val="24"/>
        </w:rPr>
      </w:pPr>
      <w:r w:rsidRPr="00B3106C">
        <w:rPr>
          <w:rFonts w:ascii="Times New Roman" w:hAnsi="Times New Roman"/>
          <w:b/>
          <w:sz w:val="24"/>
          <w:szCs w:val="24"/>
        </w:rPr>
        <w:t>This release contains forward-looking statements within the meaning of the Private Securities Litigation Reform Act of 1995, as amended. Some of these forward-looking statements can be identified by the use of forward-looking words such as "believes," "expects," "may," "will," "should," "seeks," "approximately," "intends," "plans," "estimates," "projects," "strategy," or "anticipates," or the negative of those words or other comparable terminology. These forward looking statements are only predictions and are subject to risks, uncertainties and assumptions that are difficult to predict.</w:t>
      </w:r>
    </w:p>
    <w:p w:rsidR="001E2F95" w:rsidRPr="00B3106C" w:rsidRDefault="001E2F95" w:rsidP="001E2F95">
      <w:pPr>
        <w:spacing w:line="264" w:lineRule="auto"/>
        <w:rPr>
          <w:rFonts w:ascii="Times New Roman" w:hAnsi="Times New Roman"/>
          <w:b/>
          <w:sz w:val="24"/>
          <w:szCs w:val="24"/>
        </w:rPr>
      </w:pPr>
    </w:p>
    <w:p w:rsidR="001E2F95" w:rsidRPr="00B3106C" w:rsidRDefault="001E2F95" w:rsidP="001E2F95">
      <w:pPr>
        <w:spacing w:line="264" w:lineRule="auto"/>
        <w:ind w:firstLine="720"/>
        <w:rPr>
          <w:rFonts w:ascii="Times New Roman" w:hAnsi="Times New Roman"/>
          <w:b/>
          <w:sz w:val="24"/>
          <w:szCs w:val="24"/>
        </w:rPr>
      </w:pPr>
      <w:r w:rsidRPr="00B3106C">
        <w:rPr>
          <w:rFonts w:ascii="Times New Roman" w:hAnsi="Times New Roman"/>
          <w:b/>
          <w:sz w:val="24"/>
          <w:szCs w:val="24"/>
        </w:rPr>
        <w:t xml:space="preserve">The accuracy of such statements is subject to a number of risks, uncertainties and assumptions including, but not limited to, the following factors: (1) the effect of water, utility, environmental and other governmental policies and regulations, including actions concerning rates, authorized return on equity, authorized </w:t>
      </w:r>
      <w:r>
        <w:rPr>
          <w:rFonts w:ascii="Times New Roman" w:hAnsi="Times New Roman"/>
          <w:b/>
          <w:sz w:val="24"/>
          <w:szCs w:val="24"/>
        </w:rPr>
        <w:t>capital structures</w:t>
      </w:r>
      <w:r w:rsidRPr="00B3106C">
        <w:rPr>
          <w:rFonts w:ascii="Times New Roman" w:hAnsi="Times New Roman"/>
          <w:b/>
          <w:sz w:val="24"/>
          <w:szCs w:val="24"/>
        </w:rPr>
        <w:t xml:space="preserve">, capital expenditures and other decisions; (2) changes in demand for water and other services; (3) the impact of COVID-19 pandemic on our business operation and financial results; (4) unanticipated weather conditions and changes in seasonality; (5) climate change and the effects thereof; (6) the risk that the benefits expected from the merger of SJW Group and Connecticut Water Service, Inc. </w:t>
      </w:r>
      <w:r>
        <w:rPr>
          <w:rFonts w:ascii="Times New Roman" w:hAnsi="Times New Roman"/>
          <w:b/>
          <w:sz w:val="24"/>
          <w:szCs w:val="24"/>
        </w:rPr>
        <w:t xml:space="preserve">(“Merger”) </w:t>
      </w:r>
      <w:r w:rsidRPr="00B3106C">
        <w:rPr>
          <w:rFonts w:ascii="Times New Roman" w:hAnsi="Times New Roman"/>
          <w:b/>
          <w:sz w:val="24"/>
          <w:szCs w:val="24"/>
        </w:rPr>
        <w:t xml:space="preserve">will not be realized; (7) the risk that the integration of Connecticut Water Service, Inc. will be more difficult, time-consuming or expensive than anticipated; </w:t>
      </w:r>
      <w:r>
        <w:rPr>
          <w:rFonts w:ascii="Times New Roman" w:hAnsi="Times New Roman"/>
          <w:b/>
          <w:sz w:val="24"/>
          <w:szCs w:val="24"/>
        </w:rPr>
        <w:t xml:space="preserve">(8) </w:t>
      </w:r>
      <w:r w:rsidRPr="007E5BC1">
        <w:rPr>
          <w:rFonts w:ascii="Times New Roman" w:hAnsi="Times New Roman"/>
          <w:b/>
          <w:sz w:val="24"/>
          <w:szCs w:val="24"/>
        </w:rPr>
        <w:t xml:space="preserve">the outcome of the California Public </w:t>
      </w:r>
      <w:r w:rsidRPr="007E5BC1">
        <w:rPr>
          <w:rFonts w:ascii="Times New Roman" w:hAnsi="Times New Roman"/>
          <w:b/>
          <w:sz w:val="24"/>
          <w:szCs w:val="24"/>
        </w:rPr>
        <w:lastRenderedPageBreak/>
        <w:t>Utilities Commission’s investigation into the Merger</w:t>
      </w:r>
      <w:r>
        <w:rPr>
          <w:rFonts w:ascii="Times New Roman" w:hAnsi="Times New Roman"/>
          <w:b/>
          <w:sz w:val="24"/>
          <w:szCs w:val="24"/>
        </w:rPr>
        <w:t xml:space="preserve">, (9) </w:t>
      </w:r>
      <w:r w:rsidRPr="007E5BC1">
        <w:rPr>
          <w:rFonts w:ascii="Times New Roman" w:hAnsi="Times New Roman"/>
          <w:b/>
          <w:sz w:val="24"/>
          <w:szCs w:val="24"/>
        </w:rPr>
        <w:t>unexpected costs, charges or expenses resulting from the Merger or otherwise</w:t>
      </w:r>
      <w:r>
        <w:rPr>
          <w:rFonts w:ascii="Times New Roman" w:hAnsi="Times New Roman"/>
          <w:b/>
          <w:sz w:val="24"/>
          <w:szCs w:val="24"/>
        </w:rPr>
        <w:t>;</w:t>
      </w:r>
      <w:r w:rsidRPr="007E5BC1">
        <w:rPr>
          <w:rFonts w:ascii="Times New Roman" w:hAnsi="Times New Roman"/>
          <w:b/>
          <w:sz w:val="24"/>
          <w:szCs w:val="24"/>
        </w:rPr>
        <w:t xml:space="preserve"> </w:t>
      </w:r>
      <w:r w:rsidRPr="00B3106C">
        <w:rPr>
          <w:rFonts w:ascii="Times New Roman" w:hAnsi="Times New Roman"/>
          <w:b/>
          <w:sz w:val="24"/>
          <w:szCs w:val="24"/>
        </w:rPr>
        <w:t>(</w:t>
      </w:r>
      <w:r>
        <w:rPr>
          <w:rFonts w:ascii="Times New Roman" w:hAnsi="Times New Roman"/>
          <w:b/>
          <w:sz w:val="24"/>
          <w:szCs w:val="24"/>
        </w:rPr>
        <w:t>10</w:t>
      </w:r>
      <w:r w:rsidRPr="00B3106C">
        <w:rPr>
          <w:rFonts w:ascii="Times New Roman" w:hAnsi="Times New Roman"/>
          <w:b/>
          <w:sz w:val="24"/>
          <w:szCs w:val="24"/>
        </w:rPr>
        <w:t>) our ability to successfully evaluate investments in new business and growth initiatives; (</w:t>
      </w:r>
      <w:r>
        <w:rPr>
          <w:rFonts w:ascii="Times New Roman" w:hAnsi="Times New Roman"/>
          <w:b/>
          <w:sz w:val="24"/>
          <w:szCs w:val="24"/>
        </w:rPr>
        <w:t>11</w:t>
      </w:r>
      <w:r w:rsidRPr="00B3106C">
        <w:rPr>
          <w:rFonts w:ascii="Times New Roman" w:hAnsi="Times New Roman"/>
          <w:b/>
          <w:sz w:val="24"/>
          <w:szCs w:val="24"/>
        </w:rPr>
        <w:t>) the risk of work stoppages, strikes and other labor-related actions; (1</w:t>
      </w:r>
      <w:r>
        <w:rPr>
          <w:rFonts w:ascii="Times New Roman" w:hAnsi="Times New Roman"/>
          <w:b/>
          <w:sz w:val="24"/>
          <w:szCs w:val="24"/>
        </w:rPr>
        <w:t>2</w:t>
      </w:r>
      <w:r w:rsidRPr="00B3106C">
        <w:rPr>
          <w:rFonts w:ascii="Times New Roman" w:hAnsi="Times New Roman"/>
          <w:b/>
          <w:sz w:val="24"/>
          <w:szCs w:val="24"/>
        </w:rPr>
        <w:t>) catastrophic events such as fires, earthquakes, explosions, floods, ice storms, tornadoes, hurricanes, terrorist acts, physical attacks, cyber-attacks, or other similar occurrences; (1</w:t>
      </w:r>
      <w:r>
        <w:rPr>
          <w:rFonts w:ascii="Times New Roman" w:hAnsi="Times New Roman"/>
          <w:b/>
          <w:sz w:val="24"/>
          <w:szCs w:val="24"/>
        </w:rPr>
        <w:t>3</w:t>
      </w:r>
      <w:r w:rsidRPr="00B3106C">
        <w:rPr>
          <w:rFonts w:ascii="Times New Roman" w:hAnsi="Times New Roman"/>
          <w:b/>
          <w:sz w:val="24"/>
          <w:szCs w:val="24"/>
        </w:rPr>
        <w:t>) changes in general economic, political, business and financial market conditions; (1</w:t>
      </w:r>
      <w:r>
        <w:rPr>
          <w:rFonts w:ascii="Times New Roman" w:hAnsi="Times New Roman"/>
          <w:b/>
          <w:sz w:val="24"/>
          <w:szCs w:val="24"/>
        </w:rPr>
        <w:t>4</w:t>
      </w:r>
      <w:r w:rsidRPr="00B3106C">
        <w:rPr>
          <w:rFonts w:ascii="Times New Roman" w:hAnsi="Times New Roman"/>
          <w:b/>
          <w:sz w:val="24"/>
          <w:szCs w:val="24"/>
        </w:rPr>
        <w:t>) the ability to obtain financing on favorable terms, which can be affected by various factors, including credit ratings, changes in interest rates, compliance with regulatory requirements, compliance with the terms and conditions of our outstanding indebtedness, and general stock market conditions; and (1</w:t>
      </w:r>
      <w:r>
        <w:rPr>
          <w:rFonts w:ascii="Times New Roman" w:hAnsi="Times New Roman"/>
          <w:b/>
          <w:sz w:val="24"/>
          <w:szCs w:val="24"/>
        </w:rPr>
        <w:t>5</w:t>
      </w:r>
      <w:r w:rsidRPr="00B3106C">
        <w:rPr>
          <w:rFonts w:ascii="Times New Roman" w:hAnsi="Times New Roman"/>
          <w:b/>
          <w:sz w:val="24"/>
          <w:szCs w:val="24"/>
        </w:rPr>
        <w:t>) legislative and general market and economic developments.</w:t>
      </w:r>
    </w:p>
    <w:p w:rsidR="001E2F95" w:rsidRPr="00B3106C" w:rsidRDefault="001E2F95" w:rsidP="001E2F95">
      <w:pPr>
        <w:spacing w:line="264" w:lineRule="auto"/>
        <w:rPr>
          <w:rFonts w:ascii="Times New Roman" w:hAnsi="Times New Roman"/>
          <w:b/>
          <w:sz w:val="24"/>
          <w:szCs w:val="24"/>
        </w:rPr>
      </w:pPr>
    </w:p>
    <w:p w:rsidR="001E2F95" w:rsidRDefault="001E2F95" w:rsidP="001E2F95">
      <w:pPr>
        <w:spacing w:line="264" w:lineRule="auto"/>
        <w:ind w:firstLine="720"/>
        <w:rPr>
          <w:rFonts w:ascii="Times New Roman" w:hAnsi="Times New Roman"/>
          <w:b/>
          <w:sz w:val="24"/>
          <w:szCs w:val="24"/>
        </w:rPr>
      </w:pPr>
      <w:r w:rsidRPr="00B3106C">
        <w:rPr>
          <w:rFonts w:ascii="Times New Roman" w:hAnsi="Times New Roman"/>
          <w:b/>
          <w:sz w:val="24"/>
          <w:szCs w:val="24"/>
        </w:rPr>
        <w:t>Results for a quarter are not indicative of results for a full year due to seasonality and other factors. In addition, actual results are subject to other risks and uncertainties that relate more broadly to our overall business, including those more fully described in our filings with the SEC, including our most recent reports on Form 10-K, Form 10-Q and Form 8-K. Forward-looking statements are not guarantees of performance, and speak only as of the date made, and we undertake no obligation to update or revise any forward-looking statements except as required by law.</w:t>
      </w:r>
    </w:p>
    <w:p w:rsidR="00B3106C" w:rsidRPr="007B2495" w:rsidRDefault="00B3106C" w:rsidP="00B3106C">
      <w:pPr>
        <w:spacing w:line="264" w:lineRule="auto"/>
        <w:rPr>
          <w:rFonts w:ascii="Times New Roman" w:hAnsi="Times New Roman"/>
          <w:b/>
          <w:sz w:val="24"/>
          <w:szCs w:val="24"/>
        </w:rPr>
      </w:pPr>
    </w:p>
    <w:p w:rsidR="003F2974" w:rsidRPr="007B2495" w:rsidRDefault="003F2974" w:rsidP="003F2974">
      <w:pPr>
        <w:spacing w:line="264" w:lineRule="auto"/>
        <w:jc w:val="both"/>
        <w:rPr>
          <w:rFonts w:ascii="Times New Roman" w:hAnsi="Times New Roman"/>
          <w:b/>
          <w:sz w:val="24"/>
          <w:szCs w:val="24"/>
        </w:rPr>
      </w:pPr>
      <w:r w:rsidRPr="007B2495">
        <w:rPr>
          <w:rFonts w:ascii="Times New Roman" w:hAnsi="Times New Roman"/>
          <w:b/>
          <w:sz w:val="24"/>
          <w:szCs w:val="24"/>
        </w:rPr>
        <w:t>Contact</w:t>
      </w:r>
    </w:p>
    <w:p w:rsidR="003F2974" w:rsidRPr="007B2495" w:rsidRDefault="003F2974" w:rsidP="003F2974">
      <w:pPr>
        <w:spacing w:line="264" w:lineRule="auto"/>
        <w:jc w:val="both"/>
        <w:rPr>
          <w:rFonts w:ascii="Times New Roman" w:hAnsi="Times New Roman"/>
          <w:b/>
          <w:sz w:val="24"/>
          <w:szCs w:val="24"/>
        </w:rPr>
      </w:pPr>
    </w:p>
    <w:p w:rsidR="003F2974" w:rsidRPr="007B2495" w:rsidRDefault="003F2974" w:rsidP="003F2974">
      <w:pPr>
        <w:spacing w:line="264" w:lineRule="auto"/>
        <w:rPr>
          <w:rFonts w:ascii="Times New Roman" w:hAnsi="Times New Roman"/>
          <w:b/>
          <w:sz w:val="24"/>
          <w:szCs w:val="24"/>
        </w:rPr>
      </w:pPr>
      <w:r w:rsidRPr="007B2495">
        <w:rPr>
          <w:rFonts w:ascii="Times New Roman" w:hAnsi="Times New Roman"/>
          <w:sz w:val="24"/>
          <w:szCs w:val="24"/>
          <w:shd w:val="clear" w:color="auto" w:fill="FEFEFE"/>
        </w:rPr>
        <w:t>SJW Group</w:t>
      </w:r>
      <w:r w:rsidRPr="007B2495">
        <w:rPr>
          <w:rFonts w:ascii="Times New Roman" w:hAnsi="Times New Roman"/>
          <w:sz w:val="24"/>
          <w:szCs w:val="24"/>
        </w:rPr>
        <w:br/>
      </w:r>
      <w:r w:rsidRPr="007B2495">
        <w:rPr>
          <w:rFonts w:ascii="Times New Roman" w:hAnsi="Times New Roman"/>
          <w:sz w:val="24"/>
          <w:szCs w:val="24"/>
          <w:shd w:val="clear" w:color="auto" w:fill="FEFEFE"/>
        </w:rPr>
        <w:t>James P. Lynch, 408-279-7966</w:t>
      </w:r>
      <w:r w:rsidRPr="007B2495">
        <w:rPr>
          <w:rFonts w:ascii="Times New Roman" w:hAnsi="Times New Roman"/>
          <w:sz w:val="24"/>
          <w:szCs w:val="24"/>
        </w:rPr>
        <w:br/>
      </w:r>
      <w:r w:rsidRPr="007B2495">
        <w:rPr>
          <w:rFonts w:ascii="Times New Roman" w:hAnsi="Times New Roman"/>
          <w:sz w:val="24"/>
          <w:szCs w:val="24"/>
          <w:shd w:val="clear" w:color="auto" w:fill="FEFEFE"/>
        </w:rPr>
        <w:t>Chief Financial Officer and Treasurer</w:t>
      </w:r>
    </w:p>
    <w:p w:rsidR="00217735" w:rsidRPr="007B2495" w:rsidRDefault="00217735" w:rsidP="003F2974">
      <w:pPr>
        <w:spacing w:line="264" w:lineRule="auto"/>
        <w:rPr>
          <w:rFonts w:ascii="Times New Roman" w:hAnsi="Times New Roman"/>
          <w:b/>
          <w:sz w:val="24"/>
          <w:szCs w:val="24"/>
        </w:rPr>
      </w:pPr>
    </w:p>
    <w:sectPr w:rsidR="00217735" w:rsidRPr="007B2495" w:rsidSect="00B55F95">
      <w:footnotePr>
        <w:numRestart w:val="eachSect"/>
      </w:footnotePr>
      <w:pgSz w:w="12240" w:h="15840" w:code="1"/>
      <w:pgMar w:top="1440" w:right="1080" w:bottom="1440" w:left="1080" w:header="270" w:footer="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AB6" w:rsidRDefault="00C26AB6" w:rsidP="001E747C">
      <w:r>
        <w:separator/>
      </w:r>
    </w:p>
  </w:endnote>
  <w:endnote w:type="continuationSeparator" w:id="0">
    <w:p w:rsidR="00C26AB6" w:rsidRDefault="00C26AB6" w:rsidP="001E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rochure">
    <w:altName w:val="Courier New"/>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SWA">
    <w:altName w:val="Courier New"/>
    <w:charset w:val="00"/>
    <w:family w:val="modern"/>
    <w:pitch w:val="fixed"/>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AB6" w:rsidRDefault="00C26AB6" w:rsidP="001E747C">
      <w:r>
        <w:separator/>
      </w:r>
    </w:p>
  </w:footnote>
  <w:footnote w:type="continuationSeparator" w:id="0">
    <w:p w:rsidR="00C26AB6" w:rsidRDefault="00C26AB6" w:rsidP="001E74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4359E"/>
    <w:multiLevelType w:val="hybridMultilevel"/>
    <w:tmpl w:val="70D62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6963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47C"/>
    <w:rsid w:val="00006BDD"/>
    <w:rsid w:val="000115C2"/>
    <w:rsid w:val="0001320C"/>
    <w:rsid w:val="00023BEE"/>
    <w:rsid w:val="00043E1E"/>
    <w:rsid w:val="00044E35"/>
    <w:rsid w:val="00045039"/>
    <w:rsid w:val="00045247"/>
    <w:rsid w:val="000634D7"/>
    <w:rsid w:val="000825DD"/>
    <w:rsid w:val="00094985"/>
    <w:rsid w:val="00095A34"/>
    <w:rsid w:val="0009662E"/>
    <w:rsid w:val="000A0E5F"/>
    <w:rsid w:val="000A0FB0"/>
    <w:rsid w:val="000A4982"/>
    <w:rsid w:val="000B0F80"/>
    <w:rsid w:val="000B49CC"/>
    <w:rsid w:val="000C18D1"/>
    <w:rsid w:val="000C71A5"/>
    <w:rsid w:val="000E1AB6"/>
    <w:rsid w:val="000E7711"/>
    <w:rsid w:val="000F4658"/>
    <w:rsid w:val="00125308"/>
    <w:rsid w:val="00127456"/>
    <w:rsid w:val="00135AA5"/>
    <w:rsid w:val="001378FF"/>
    <w:rsid w:val="001437F8"/>
    <w:rsid w:val="00154FAC"/>
    <w:rsid w:val="00156E9D"/>
    <w:rsid w:val="00160253"/>
    <w:rsid w:val="00162B26"/>
    <w:rsid w:val="00172416"/>
    <w:rsid w:val="00174703"/>
    <w:rsid w:val="001748B2"/>
    <w:rsid w:val="00186BF7"/>
    <w:rsid w:val="001A53BC"/>
    <w:rsid w:val="001A6F34"/>
    <w:rsid w:val="001B4B35"/>
    <w:rsid w:val="001B6A69"/>
    <w:rsid w:val="001C27F5"/>
    <w:rsid w:val="001D2E4A"/>
    <w:rsid w:val="001E287E"/>
    <w:rsid w:val="001E2F95"/>
    <w:rsid w:val="001E5511"/>
    <w:rsid w:val="001E747C"/>
    <w:rsid w:val="001F12BF"/>
    <w:rsid w:val="00206E2E"/>
    <w:rsid w:val="00207ADE"/>
    <w:rsid w:val="00217735"/>
    <w:rsid w:val="00234046"/>
    <w:rsid w:val="002462C4"/>
    <w:rsid w:val="00262B79"/>
    <w:rsid w:val="00263B9B"/>
    <w:rsid w:val="00272157"/>
    <w:rsid w:val="002738CC"/>
    <w:rsid w:val="00277464"/>
    <w:rsid w:val="002828FF"/>
    <w:rsid w:val="00297A88"/>
    <w:rsid w:val="002B3332"/>
    <w:rsid w:val="002B45D0"/>
    <w:rsid w:val="002B4875"/>
    <w:rsid w:val="002C48BA"/>
    <w:rsid w:val="002D654D"/>
    <w:rsid w:val="002E0B0D"/>
    <w:rsid w:val="002E5288"/>
    <w:rsid w:val="002E773E"/>
    <w:rsid w:val="002F08D2"/>
    <w:rsid w:val="002F106B"/>
    <w:rsid w:val="00300EB2"/>
    <w:rsid w:val="0030757C"/>
    <w:rsid w:val="003270EA"/>
    <w:rsid w:val="0034413D"/>
    <w:rsid w:val="00345439"/>
    <w:rsid w:val="00346E27"/>
    <w:rsid w:val="003545A5"/>
    <w:rsid w:val="003676D1"/>
    <w:rsid w:val="0039016F"/>
    <w:rsid w:val="0039489B"/>
    <w:rsid w:val="003A6205"/>
    <w:rsid w:val="003B3D96"/>
    <w:rsid w:val="003B7D52"/>
    <w:rsid w:val="003C709D"/>
    <w:rsid w:val="003D5240"/>
    <w:rsid w:val="003E0C04"/>
    <w:rsid w:val="003E2401"/>
    <w:rsid w:val="003E7DE7"/>
    <w:rsid w:val="003F2974"/>
    <w:rsid w:val="003F5C37"/>
    <w:rsid w:val="00431194"/>
    <w:rsid w:val="00436AB3"/>
    <w:rsid w:val="004419D8"/>
    <w:rsid w:val="00443B97"/>
    <w:rsid w:val="0046541C"/>
    <w:rsid w:val="00472FED"/>
    <w:rsid w:val="00477511"/>
    <w:rsid w:val="00485209"/>
    <w:rsid w:val="00496861"/>
    <w:rsid w:val="004A2DAA"/>
    <w:rsid w:val="004A6599"/>
    <w:rsid w:val="004B339E"/>
    <w:rsid w:val="004C4341"/>
    <w:rsid w:val="004E0C55"/>
    <w:rsid w:val="004E302B"/>
    <w:rsid w:val="004F1794"/>
    <w:rsid w:val="005020BE"/>
    <w:rsid w:val="00505D7C"/>
    <w:rsid w:val="005125FB"/>
    <w:rsid w:val="00522C49"/>
    <w:rsid w:val="00522D88"/>
    <w:rsid w:val="00526420"/>
    <w:rsid w:val="00534427"/>
    <w:rsid w:val="00544E47"/>
    <w:rsid w:val="005625D0"/>
    <w:rsid w:val="005625F7"/>
    <w:rsid w:val="0057544E"/>
    <w:rsid w:val="00576A06"/>
    <w:rsid w:val="0058496F"/>
    <w:rsid w:val="0058714C"/>
    <w:rsid w:val="005B0309"/>
    <w:rsid w:val="005B3E47"/>
    <w:rsid w:val="005B5796"/>
    <w:rsid w:val="005B5B45"/>
    <w:rsid w:val="005B7813"/>
    <w:rsid w:val="005C28DF"/>
    <w:rsid w:val="00602CED"/>
    <w:rsid w:val="006046EF"/>
    <w:rsid w:val="006145CE"/>
    <w:rsid w:val="006230CD"/>
    <w:rsid w:val="00630F03"/>
    <w:rsid w:val="00631E97"/>
    <w:rsid w:val="00633F23"/>
    <w:rsid w:val="0064320D"/>
    <w:rsid w:val="006454F2"/>
    <w:rsid w:val="00646230"/>
    <w:rsid w:val="006479F1"/>
    <w:rsid w:val="00653D76"/>
    <w:rsid w:val="0065463E"/>
    <w:rsid w:val="0065480D"/>
    <w:rsid w:val="00663F27"/>
    <w:rsid w:val="0067628D"/>
    <w:rsid w:val="00680DEB"/>
    <w:rsid w:val="00680F0D"/>
    <w:rsid w:val="00681554"/>
    <w:rsid w:val="0068271F"/>
    <w:rsid w:val="006854B8"/>
    <w:rsid w:val="006B109D"/>
    <w:rsid w:val="006C3138"/>
    <w:rsid w:val="006C5F81"/>
    <w:rsid w:val="006C77B0"/>
    <w:rsid w:val="006E573B"/>
    <w:rsid w:val="006E7843"/>
    <w:rsid w:val="006F0B1A"/>
    <w:rsid w:val="006F143E"/>
    <w:rsid w:val="006F3D03"/>
    <w:rsid w:val="007116F4"/>
    <w:rsid w:val="00716457"/>
    <w:rsid w:val="00723DD4"/>
    <w:rsid w:val="00733DE6"/>
    <w:rsid w:val="0073429A"/>
    <w:rsid w:val="0074338D"/>
    <w:rsid w:val="007460CE"/>
    <w:rsid w:val="0077036E"/>
    <w:rsid w:val="007A396F"/>
    <w:rsid w:val="007B0C90"/>
    <w:rsid w:val="007B2495"/>
    <w:rsid w:val="007C48D4"/>
    <w:rsid w:val="007C6E14"/>
    <w:rsid w:val="007D4E95"/>
    <w:rsid w:val="007D7252"/>
    <w:rsid w:val="007E1F05"/>
    <w:rsid w:val="007F2D17"/>
    <w:rsid w:val="007F4D11"/>
    <w:rsid w:val="00811CAB"/>
    <w:rsid w:val="0083472C"/>
    <w:rsid w:val="00846404"/>
    <w:rsid w:val="0086440C"/>
    <w:rsid w:val="008661A9"/>
    <w:rsid w:val="0086634E"/>
    <w:rsid w:val="008A6ECB"/>
    <w:rsid w:val="008B4C8D"/>
    <w:rsid w:val="008B5CB1"/>
    <w:rsid w:val="008B794B"/>
    <w:rsid w:val="008C55A4"/>
    <w:rsid w:val="008D1E3E"/>
    <w:rsid w:val="008D21C7"/>
    <w:rsid w:val="008D41BD"/>
    <w:rsid w:val="008F73D7"/>
    <w:rsid w:val="00911F69"/>
    <w:rsid w:val="009366B2"/>
    <w:rsid w:val="00940940"/>
    <w:rsid w:val="00942968"/>
    <w:rsid w:val="009514D1"/>
    <w:rsid w:val="009610EB"/>
    <w:rsid w:val="00967240"/>
    <w:rsid w:val="00970D29"/>
    <w:rsid w:val="00974D15"/>
    <w:rsid w:val="00977AA2"/>
    <w:rsid w:val="00994D7D"/>
    <w:rsid w:val="009A1115"/>
    <w:rsid w:val="009A7DD8"/>
    <w:rsid w:val="009B5ADA"/>
    <w:rsid w:val="009C2356"/>
    <w:rsid w:val="009C451E"/>
    <w:rsid w:val="009D6C91"/>
    <w:rsid w:val="009E5A40"/>
    <w:rsid w:val="00A30506"/>
    <w:rsid w:val="00A327CF"/>
    <w:rsid w:val="00A35454"/>
    <w:rsid w:val="00A52B7C"/>
    <w:rsid w:val="00A62DB6"/>
    <w:rsid w:val="00A66322"/>
    <w:rsid w:val="00A6713C"/>
    <w:rsid w:val="00A73B59"/>
    <w:rsid w:val="00A81642"/>
    <w:rsid w:val="00A84CA9"/>
    <w:rsid w:val="00A84F1F"/>
    <w:rsid w:val="00A95C0C"/>
    <w:rsid w:val="00AA2D21"/>
    <w:rsid w:val="00AA574B"/>
    <w:rsid w:val="00AC3436"/>
    <w:rsid w:val="00AD3900"/>
    <w:rsid w:val="00AE5745"/>
    <w:rsid w:val="00AF1A07"/>
    <w:rsid w:val="00B02A07"/>
    <w:rsid w:val="00B22444"/>
    <w:rsid w:val="00B2350D"/>
    <w:rsid w:val="00B247D4"/>
    <w:rsid w:val="00B253D0"/>
    <w:rsid w:val="00B3106C"/>
    <w:rsid w:val="00B427C3"/>
    <w:rsid w:val="00B55F95"/>
    <w:rsid w:val="00B6074B"/>
    <w:rsid w:val="00B60D9B"/>
    <w:rsid w:val="00B72671"/>
    <w:rsid w:val="00B76943"/>
    <w:rsid w:val="00B93758"/>
    <w:rsid w:val="00B93BA4"/>
    <w:rsid w:val="00BB027E"/>
    <w:rsid w:val="00BB1970"/>
    <w:rsid w:val="00BB3E0F"/>
    <w:rsid w:val="00BC33B8"/>
    <w:rsid w:val="00BF1CDC"/>
    <w:rsid w:val="00BF382C"/>
    <w:rsid w:val="00C10BCB"/>
    <w:rsid w:val="00C139D7"/>
    <w:rsid w:val="00C1466A"/>
    <w:rsid w:val="00C209CC"/>
    <w:rsid w:val="00C26AB6"/>
    <w:rsid w:val="00C44DEB"/>
    <w:rsid w:val="00C507A7"/>
    <w:rsid w:val="00C51046"/>
    <w:rsid w:val="00C70EA8"/>
    <w:rsid w:val="00C7692B"/>
    <w:rsid w:val="00C84A42"/>
    <w:rsid w:val="00C8598B"/>
    <w:rsid w:val="00C947F0"/>
    <w:rsid w:val="00C96E1A"/>
    <w:rsid w:val="00CA1EA3"/>
    <w:rsid w:val="00CA3DBD"/>
    <w:rsid w:val="00CA76DF"/>
    <w:rsid w:val="00CB5B24"/>
    <w:rsid w:val="00CB7B01"/>
    <w:rsid w:val="00CC2ECC"/>
    <w:rsid w:val="00CD4C9D"/>
    <w:rsid w:val="00CD6D01"/>
    <w:rsid w:val="00CE2265"/>
    <w:rsid w:val="00CE7459"/>
    <w:rsid w:val="00CF0E78"/>
    <w:rsid w:val="00CF124C"/>
    <w:rsid w:val="00CF3DB9"/>
    <w:rsid w:val="00CF6A26"/>
    <w:rsid w:val="00D17A12"/>
    <w:rsid w:val="00D22EF2"/>
    <w:rsid w:val="00D25722"/>
    <w:rsid w:val="00D32A31"/>
    <w:rsid w:val="00D32D27"/>
    <w:rsid w:val="00D3319D"/>
    <w:rsid w:val="00D354D5"/>
    <w:rsid w:val="00D37161"/>
    <w:rsid w:val="00D40D4C"/>
    <w:rsid w:val="00D60583"/>
    <w:rsid w:val="00D645A6"/>
    <w:rsid w:val="00D75D11"/>
    <w:rsid w:val="00D774A9"/>
    <w:rsid w:val="00D779EC"/>
    <w:rsid w:val="00D83529"/>
    <w:rsid w:val="00D83D4D"/>
    <w:rsid w:val="00D92EA5"/>
    <w:rsid w:val="00D94A01"/>
    <w:rsid w:val="00DA77B9"/>
    <w:rsid w:val="00DB7F11"/>
    <w:rsid w:val="00DD083E"/>
    <w:rsid w:val="00DD4C86"/>
    <w:rsid w:val="00DD6619"/>
    <w:rsid w:val="00DF23C2"/>
    <w:rsid w:val="00E00DF8"/>
    <w:rsid w:val="00E01C1B"/>
    <w:rsid w:val="00E04AC3"/>
    <w:rsid w:val="00E0770D"/>
    <w:rsid w:val="00E12A8B"/>
    <w:rsid w:val="00E21FB2"/>
    <w:rsid w:val="00E23E15"/>
    <w:rsid w:val="00E24457"/>
    <w:rsid w:val="00E30089"/>
    <w:rsid w:val="00E31164"/>
    <w:rsid w:val="00E332A3"/>
    <w:rsid w:val="00E33E93"/>
    <w:rsid w:val="00E37A16"/>
    <w:rsid w:val="00E478C3"/>
    <w:rsid w:val="00E54EF1"/>
    <w:rsid w:val="00E55E92"/>
    <w:rsid w:val="00E575C5"/>
    <w:rsid w:val="00E65BF2"/>
    <w:rsid w:val="00E764E4"/>
    <w:rsid w:val="00E93B8C"/>
    <w:rsid w:val="00EB419B"/>
    <w:rsid w:val="00EE44D6"/>
    <w:rsid w:val="00EE544D"/>
    <w:rsid w:val="00F02A46"/>
    <w:rsid w:val="00F03E7B"/>
    <w:rsid w:val="00F17D30"/>
    <w:rsid w:val="00F24E2E"/>
    <w:rsid w:val="00F33063"/>
    <w:rsid w:val="00F42490"/>
    <w:rsid w:val="00F5130F"/>
    <w:rsid w:val="00F54AD9"/>
    <w:rsid w:val="00F61901"/>
    <w:rsid w:val="00F64F30"/>
    <w:rsid w:val="00F6519F"/>
    <w:rsid w:val="00F77F7F"/>
    <w:rsid w:val="00F822C7"/>
    <w:rsid w:val="00F8369B"/>
    <w:rsid w:val="00F8652F"/>
    <w:rsid w:val="00F91DA3"/>
    <w:rsid w:val="00F946FF"/>
    <w:rsid w:val="00FA603B"/>
    <w:rsid w:val="00FA65F2"/>
    <w:rsid w:val="00FA7553"/>
    <w:rsid w:val="00FB38D6"/>
    <w:rsid w:val="00FB6D8D"/>
    <w:rsid w:val="00FB7306"/>
    <w:rsid w:val="00FC148F"/>
    <w:rsid w:val="00FE2947"/>
    <w:rsid w:val="00FE6403"/>
    <w:rsid w:val="00FE7A94"/>
    <w:rsid w:val="00FF41E4"/>
    <w:rsid w:val="00FF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9AC8A757-CA6E-4D19-8950-DA4ADBFB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47C"/>
    <w:pPr>
      <w:spacing w:after="0" w:line="240" w:lineRule="auto"/>
    </w:pPr>
    <w:rPr>
      <w:rFonts w:ascii="Times" w:eastAsia="Times New Roman" w:hAnsi="Times" w:cs="Times New Roman"/>
      <w:sz w:val="20"/>
      <w:szCs w:val="20"/>
    </w:rPr>
  </w:style>
  <w:style w:type="paragraph" w:styleId="Heading2">
    <w:name w:val="heading 2"/>
    <w:basedOn w:val="Normal"/>
    <w:next w:val="Normal"/>
    <w:link w:val="Heading2Char"/>
    <w:qFormat/>
    <w:rsid w:val="001E747C"/>
    <w:pPr>
      <w:keepNext/>
      <w:jc w:val="center"/>
      <w:outlineLvl w:val="1"/>
    </w:pPr>
    <w:rPr>
      <w:rFonts w:ascii="Brochure" w:hAnsi="Brochure"/>
      <w:spacing w:val="40"/>
      <w:sz w:val="52"/>
    </w:rPr>
  </w:style>
  <w:style w:type="paragraph" w:styleId="Heading3">
    <w:name w:val="heading 3"/>
    <w:basedOn w:val="Normal"/>
    <w:next w:val="Normal"/>
    <w:link w:val="Heading3Char"/>
    <w:qFormat/>
    <w:rsid w:val="001E747C"/>
    <w:pPr>
      <w:keepNext/>
      <w:jc w:val="right"/>
      <w:outlineLvl w:val="2"/>
    </w:pPr>
    <w:rPr>
      <w:rFonts w:ascii="Courier" w:hAnsi="Courier"/>
      <w:sz w:val="24"/>
    </w:rPr>
  </w:style>
  <w:style w:type="paragraph" w:styleId="Heading6">
    <w:name w:val="heading 6"/>
    <w:basedOn w:val="Normal"/>
    <w:next w:val="Normal"/>
    <w:link w:val="Heading6Char"/>
    <w:qFormat/>
    <w:rsid w:val="001E747C"/>
    <w:pPr>
      <w:keepNext/>
      <w:outlineLvl w:val="5"/>
    </w:pPr>
    <w:rPr>
      <w:rFonts w:ascii="Courier" w:hAnsi="Courie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747C"/>
    <w:rPr>
      <w:rFonts w:ascii="Brochure" w:eastAsia="Times New Roman" w:hAnsi="Brochure" w:cs="Times New Roman"/>
      <w:spacing w:val="40"/>
      <w:sz w:val="52"/>
      <w:szCs w:val="20"/>
    </w:rPr>
  </w:style>
  <w:style w:type="character" w:customStyle="1" w:styleId="Heading3Char">
    <w:name w:val="Heading 3 Char"/>
    <w:basedOn w:val="DefaultParagraphFont"/>
    <w:link w:val="Heading3"/>
    <w:rsid w:val="001E747C"/>
    <w:rPr>
      <w:rFonts w:ascii="Courier" w:eastAsia="Times New Roman" w:hAnsi="Courier" w:cs="Times New Roman"/>
      <w:sz w:val="24"/>
      <w:szCs w:val="20"/>
    </w:rPr>
  </w:style>
  <w:style w:type="character" w:customStyle="1" w:styleId="Heading6Char">
    <w:name w:val="Heading 6 Char"/>
    <w:basedOn w:val="DefaultParagraphFont"/>
    <w:link w:val="Heading6"/>
    <w:rsid w:val="001E747C"/>
    <w:rPr>
      <w:rFonts w:ascii="Courier" w:eastAsia="Times New Roman" w:hAnsi="Courier" w:cs="Times New Roman"/>
      <w:b/>
      <w:sz w:val="24"/>
      <w:szCs w:val="20"/>
    </w:rPr>
  </w:style>
  <w:style w:type="paragraph" w:styleId="Footer">
    <w:name w:val="footer"/>
    <w:basedOn w:val="Normal"/>
    <w:link w:val="FooterChar"/>
    <w:semiHidden/>
    <w:rsid w:val="001E747C"/>
    <w:pPr>
      <w:tabs>
        <w:tab w:val="center" w:pos="4320"/>
        <w:tab w:val="right" w:pos="8640"/>
      </w:tabs>
    </w:pPr>
  </w:style>
  <w:style w:type="character" w:customStyle="1" w:styleId="FooterChar">
    <w:name w:val="Footer Char"/>
    <w:basedOn w:val="DefaultParagraphFont"/>
    <w:link w:val="Footer"/>
    <w:semiHidden/>
    <w:rsid w:val="001E747C"/>
    <w:rPr>
      <w:rFonts w:ascii="Times" w:eastAsia="Times New Roman" w:hAnsi="Times" w:cs="Times New Roman"/>
      <w:sz w:val="20"/>
      <w:szCs w:val="20"/>
    </w:rPr>
  </w:style>
  <w:style w:type="paragraph" w:customStyle="1" w:styleId="DefaultParagraphFont1">
    <w:name w:val="Default Paragraph Font1"/>
    <w:next w:val="Normal"/>
    <w:rsid w:val="001E747C"/>
    <w:pPr>
      <w:spacing w:after="0" w:line="240" w:lineRule="auto"/>
    </w:pPr>
    <w:rPr>
      <w:rFonts w:ascii="Courier" w:eastAsia="Times New Roman" w:hAnsi="Courier" w:cs="Times New Roman"/>
      <w:sz w:val="20"/>
      <w:szCs w:val="20"/>
    </w:rPr>
  </w:style>
  <w:style w:type="paragraph" w:styleId="Header">
    <w:name w:val="header"/>
    <w:basedOn w:val="Normal"/>
    <w:link w:val="HeaderChar"/>
    <w:rsid w:val="001E747C"/>
    <w:pPr>
      <w:tabs>
        <w:tab w:val="center" w:pos="4320"/>
        <w:tab w:val="right" w:pos="8640"/>
      </w:tabs>
    </w:pPr>
    <w:rPr>
      <w:rFonts w:ascii="Courier SWA" w:hAnsi="Courier SWA"/>
      <w:sz w:val="22"/>
      <w:szCs w:val="22"/>
    </w:rPr>
  </w:style>
  <w:style w:type="character" w:customStyle="1" w:styleId="HeaderChar">
    <w:name w:val="Header Char"/>
    <w:basedOn w:val="DefaultParagraphFont"/>
    <w:link w:val="Header"/>
    <w:rsid w:val="001E747C"/>
    <w:rPr>
      <w:rFonts w:ascii="Courier SWA" w:eastAsia="Times New Roman" w:hAnsi="Courier SWA" w:cs="Times New Roman"/>
    </w:rPr>
  </w:style>
  <w:style w:type="paragraph" w:styleId="BodyText">
    <w:name w:val="Body Text"/>
    <w:basedOn w:val="Normal"/>
    <w:link w:val="BodyTextChar"/>
    <w:rsid w:val="001E747C"/>
    <w:pPr>
      <w:spacing w:after="120"/>
    </w:pPr>
    <w:rPr>
      <w:rFonts w:ascii="Courier" w:hAnsi="Courier"/>
      <w:szCs w:val="22"/>
    </w:rPr>
  </w:style>
  <w:style w:type="character" w:customStyle="1" w:styleId="BodyTextChar">
    <w:name w:val="Body Text Char"/>
    <w:basedOn w:val="DefaultParagraphFont"/>
    <w:link w:val="BodyText"/>
    <w:rsid w:val="001E747C"/>
    <w:rPr>
      <w:rFonts w:ascii="Courier" w:eastAsia="Times New Roman" w:hAnsi="Courier" w:cs="Times New Roman"/>
      <w:sz w:val="20"/>
    </w:rPr>
  </w:style>
  <w:style w:type="paragraph" w:styleId="BalloonText">
    <w:name w:val="Balloon Text"/>
    <w:basedOn w:val="Normal"/>
    <w:link w:val="BalloonTextChar"/>
    <w:uiPriority w:val="99"/>
    <w:semiHidden/>
    <w:unhideWhenUsed/>
    <w:rsid w:val="008B5CB1"/>
    <w:rPr>
      <w:rFonts w:ascii="Tahoma" w:hAnsi="Tahoma" w:cs="Tahoma"/>
      <w:sz w:val="16"/>
      <w:szCs w:val="16"/>
    </w:rPr>
  </w:style>
  <w:style w:type="character" w:customStyle="1" w:styleId="BalloonTextChar">
    <w:name w:val="Balloon Text Char"/>
    <w:basedOn w:val="DefaultParagraphFont"/>
    <w:link w:val="BalloonText"/>
    <w:uiPriority w:val="99"/>
    <w:semiHidden/>
    <w:rsid w:val="008B5CB1"/>
    <w:rPr>
      <w:rFonts w:ascii="Tahoma" w:eastAsia="Times New Roman" w:hAnsi="Tahoma" w:cs="Tahoma"/>
      <w:sz w:val="16"/>
      <w:szCs w:val="16"/>
    </w:rPr>
  </w:style>
  <w:style w:type="paragraph" w:styleId="ListParagraph">
    <w:name w:val="List Paragraph"/>
    <w:basedOn w:val="Normal"/>
    <w:uiPriority w:val="34"/>
    <w:qFormat/>
    <w:rsid w:val="0065463E"/>
    <w:pPr>
      <w:ind w:left="720"/>
      <w:contextualSpacing/>
    </w:pPr>
  </w:style>
  <w:style w:type="character" w:styleId="Hyperlink">
    <w:name w:val="Hyperlink"/>
    <w:basedOn w:val="DefaultParagraphFont"/>
    <w:uiPriority w:val="99"/>
    <w:unhideWhenUsed/>
    <w:rsid w:val="00CA76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316911">
      <w:bodyDiv w:val="1"/>
      <w:marLeft w:val="0"/>
      <w:marRight w:val="0"/>
      <w:marTop w:val="0"/>
      <w:marBottom w:val="0"/>
      <w:divBdr>
        <w:top w:val="none" w:sz="0" w:space="0" w:color="auto"/>
        <w:left w:val="none" w:sz="0" w:space="0" w:color="auto"/>
        <w:bottom w:val="none" w:sz="0" w:space="0" w:color="auto"/>
        <w:right w:val="none" w:sz="0" w:space="0" w:color="auto"/>
      </w:divBdr>
    </w:div>
    <w:div w:id="166844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C5B6C-A4E0-4D92-9582-270A217F9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San Jose Water Company</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Devine, Dianna</dc:creator>
  <cp:lastModifiedBy>Liann Walborsky</cp:lastModifiedBy>
  <cp:revision>2</cp:revision>
  <cp:lastPrinted>2018-01-24T17:40:00Z</cp:lastPrinted>
  <dcterms:created xsi:type="dcterms:W3CDTF">2020-07-29T14:54:00Z</dcterms:created>
  <dcterms:modified xsi:type="dcterms:W3CDTF">2020-07-29T14:54:00Z</dcterms:modified>
</cp:coreProperties>
</file>